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rPr>
      </w:pPr>
      <w:r>
        <w:rPr>
          <w:rFonts w:hint="eastAsia" w:ascii="黑体" w:hAnsi="黑体" w:eastAsia="黑体"/>
          <w:sz w:val="32"/>
          <w:szCs w:val="32"/>
        </w:rPr>
        <w:t>附件7</w:t>
      </w:r>
    </w:p>
    <w:p>
      <w:pPr>
        <w:rPr>
          <w:rFonts w:ascii="仿宋_GB2312" w:hAnsi="微软雅黑" w:eastAsia="仿宋_GB2312" w:cs="宋体"/>
          <w:color w:val="333333"/>
          <w:kern w:val="0"/>
          <w:sz w:val="32"/>
          <w:szCs w:val="32"/>
        </w:rPr>
      </w:pPr>
    </w:p>
    <w:p>
      <w:pPr>
        <w:jc w:val="center"/>
        <w:rPr>
          <w:rFonts w:ascii="宋体" w:hAnsi="宋体" w:cs="宋体"/>
          <w:b/>
          <w:color w:val="333333"/>
          <w:kern w:val="0"/>
          <w:sz w:val="44"/>
          <w:szCs w:val="44"/>
        </w:rPr>
      </w:pPr>
      <w:r>
        <w:rPr>
          <w:rFonts w:ascii="宋体" w:hAnsi="宋体" w:cs="宋体"/>
          <w:b/>
          <w:color w:val="333333"/>
          <w:kern w:val="0"/>
          <w:sz w:val="44"/>
          <w:szCs w:val="44"/>
        </w:rPr>
        <w:t>大连商品交易所</w:t>
      </w:r>
      <w:r>
        <w:rPr>
          <w:rFonts w:hint="eastAsia" w:ascii="宋体" w:hAnsi="宋体" w:cs="宋体"/>
          <w:b/>
          <w:color w:val="333333"/>
          <w:kern w:val="0"/>
          <w:sz w:val="44"/>
          <w:szCs w:val="44"/>
        </w:rPr>
        <w:t>苯乙烯</w:t>
      </w:r>
      <w:r>
        <w:rPr>
          <w:rFonts w:ascii="宋体" w:hAnsi="宋体" w:cs="宋体"/>
          <w:b/>
          <w:color w:val="333333"/>
          <w:kern w:val="0"/>
          <w:sz w:val="44"/>
          <w:szCs w:val="44"/>
        </w:rPr>
        <w:t>期货业务细则</w:t>
      </w:r>
    </w:p>
    <w:p>
      <w:pPr>
        <w:rPr>
          <w:rFonts w:ascii="仿宋_GB2312" w:hAnsi="微软雅黑" w:eastAsia="仿宋_GB2312" w:cs="宋体"/>
          <w:color w:val="333333"/>
          <w:kern w:val="0"/>
          <w:sz w:val="32"/>
          <w:szCs w:val="32"/>
        </w:rPr>
      </w:pPr>
    </w:p>
    <w:p>
      <w:pPr>
        <w:pStyle w:val="8"/>
        <w:rPr>
          <w:rFonts w:ascii="仿宋_GB2312" w:eastAsia="仿宋_GB2312"/>
          <w:sz w:val="32"/>
        </w:rPr>
      </w:pPr>
      <w:r>
        <w:rPr>
          <w:rFonts w:hint="eastAsia" w:ascii="仿宋_GB2312" w:eastAsia="仿宋_GB2312"/>
          <w:sz w:val="32"/>
        </w:rPr>
        <w:t>第一章</w:t>
      </w:r>
      <w:r>
        <w:rPr>
          <w:rFonts w:ascii="仿宋_GB2312" w:eastAsia="仿宋_GB2312"/>
          <w:sz w:val="32"/>
        </w:rPr>
        <w:t xml:space="preserve"> </w:t>
      </w:r>
      <w:r>
        <w:rPr>
          <w:rFonts w:hint="eastAsia" w:ascii="仿宋_GB2312" w:eastAsia="仿宋_GB2312"/>
          <w:sz w:val="32"/>
        </w:rPr>
        <w:t>总则</w:t>
      </w:r>
    </w:p>
    <w:p>
      <w:pPr>
        <w:pStyle w:val="9"/>
        <w:ind w:firstLine="640"/>
        <w:rPr>
          <w:rFonts w:ascii="仿宋_GB2312" w:eastAsia="仿宋_GB2312"/>
          <w:sz w:val="32"/>
        </w:rPr>
      </w:pPr>
      <w:r>
        <w:rPr>
          <w:rFonts w:hint="eastAsia" w:ascii="仿宋_GB2312" w:eastAsia="仿宋_GB2312"/>
          <w:sz w:val="32"/>
        </w:rPr>
        <w:t>第一条</w:t>
      </w:r>
      <w:r>
        <w:rPr>
          <w:rFonts w:ascii="仿宋_GB2312" w:eastAsia="仿宋_GB2312"/>
          <w:sz w:val="32"/>
        </w:rPr>
        <w:t xml:space="preserve"> </w:t>
      </w:r>
      <w:r>
        <w:rPr>
          <w:rFonts w:hint="eastAsia" w:ascii="仿宋_GB2312" w:eastAsia="仿宋_GB2312"/>
          <w:sz w:val="32"/>
        </w:rPr>
        <w:t>为规范大连商品交易所（以下简称交易所）苯乙烯期货合约交易行为，根据《大连商品交易所交易规则》和《大连商品交易所苯乙烯期货合约》，制定本细则。</w:t>
      </w:r>
    </w:p>
    <w:p>
      <w:pPr>
        <w:pStyle w:val="9"/>
        <w:ind w:firstLine="640"/>
        <w:rPr>
          <w:rFonts w:ascii="仿宋_GB2312" w:eastAsia="仿宋_GB2312"/>
          <w:sz w:val="32"/>
        </w:rPr>
      </w:pPr>
      <w:r>
        <w:rPr>
          <w:rFonts w:hint="eastAsia" w:ascii="仿宋_GB2312" w:eastAsia="仿宋_GB2312"/>
          <w:sz w:val="32"/>
        </w:rPr>
        <w:t>第二条</w:t>
      </w:r>
      <w:r>
        <w:rPr>
          <w:rFonts w:ascii="仿宋_GB2312" w:eastAsia="仿宋_GB2312"/>
          <w:sz w:val="32"/>
        </w:rPr>
        <w:t xml:space="preserve"> </w:t>
      </w:r>
      <w:r>
        <w:rPr>
          <w:rFonts w:hint="eastAsia" w:ascii="仿宋_GB2312" w:eastAsia="仿宋_GB2312"/>
          <w:sz w:val="32"/>
        </w:rPr>
        <w:t>交易所、会员、客户、指定交割仓库、指定质量检验机构、指定期货保证金存管银行及期货市场其他参与者应当遵守本细则。</w:t>
      </w:r>
    </w:p>
    <w:p>
      <w:pPr>
        <w:pStyle w:val="9"/>
        <w:ind w:firstLine="640"/>
        <w:rPr>
          <w:rFonts w:ascii="仿宋_GB2312" w:eastAsia="仿宋_GB2312"/>
          <w:sz w:val="32"/>
        </w:rPr>
      </w:pPr>
      <w:r>
        <w:rPr>
          <w:rFonts w:hint="eastAsia" w:ascii="仿宋_GB2312" w:eastAsia="仿宋_GB2312"/>
          <w:sz w:val="32"/>
        </w:rPr>
        <w:t>第三条</w:t>
      </w:r>
      <w:r>
        <w:rPr>
          <w:rFonts w:ascii="仿宋_GB2312" w:eastAsia="仿宋_GB2312"/>
          <w:sz w:val="32"/>
        </w:rPr>
        <w:t xml:space="preserve"> </w:t>
      </w:r>
      <w:r>
        <w:rPr>
          <w:rFonts w:hint="eastAsia" w:ascii="仿宋_GB2312" w:eastAsia="仿宋_GB2312"/>
          <w:sz w:val="32"/>
        </w:rPr>
        <w:t>本细则未规定的，按照交易所相关业务规则的规定执行。</w:t>
      </w:r>
    </w:p>
    <w:p>
      <w:pPr>
        <w:pStyle w:val="8"/>
        <w:rPr>
          <w:rFonts w:ascii="仿宋_GB2312" w:eastAsia="仿宋_GB2312"/>
          <w:sz w:val="32"/>
        </w:rPr>
      </w:pPr>
      <w:r>
        <w:rPr>
          <w:rFonts w:hint="eastAsia" w:ascii="仿宋_GB2312" w:eastAsia="仿宋_GB2312"/>
          <w:sz w:val="32"/>
        </w:rPr>
        <w:t>第二章</w:t>
      </w:r>
      <w:r>
        <w:rPr>
          <w:rFonts w:ascii="仿宋_GB2312" w:eastAsia="仿宋_GB2312"/>
          <w:sz w:val="32"/>
        </w:rPr>
        <w:t xml:space="preserve"> </w:t>
      </w:r>
      <w:r>
        <w:rPr>
          <w:rFonts w:hint="eastAsia" w:ascii="仿宋_GB2312" w:eastAsia="仿宋_GB2312"/>
          <w:sz w:val="32"/>
        </w:rPr>
        <w:t>合约主要条款和相关参数</w:t>
      </w:r>
    </w:p>
    <w:p>
      <w:pPr>
        <w:pStyle w:val="9"/>
        <w:ind w:firstLine="640"/>
        <w:rPr>
          <w:rFonts w:ascii="仿宋_GB2312" w:hAnsi="宋体" w:eastAsia="仿宋_GB2312" w:cs="宋体"/>
          <w:color w:val="000000"/>
          <w:kern w:val="0"/>
          <w:sz w:val="32"/>
        </w:rPr>
      </w:pPr>
      <w:r>
        <w:rPr>
          <w:rStyle w:val="10"/>
          <w:rFonts w:hint="eastAsia" w:ascii="仿宋_GB2312" w:eastAsia="仿宋_GB2312"/>
          <w:sz w:val="32"/>
        </w:rPr>
        <w:t>第四条</w:t>
      </w:r>
      <w:r>
        <w:rPr>
          <w:rStyle w:val="10"/>
          <w:rFonts w:ascii="仿宋_GB2312" w:eastAsia="仿宋_GB2312"/>
          <w:sz w:val="32"/>
        </w:rPr>
        <w:t xml:space="preserve"> </w:t>
      </w:r>
      <w:r>
        <w:rPr>
          <w:rStyle w:val="10"/>
          <w:rFonts w:hint="eastAsia" w:ascii="仿宋_GB2312" w:eastAsia="仿宋_GB2312"/>
          <w:sz w:val="32"/>
        </w:rPr>
        <w:t>苯乙烯期货合约交割标准品的质量标准详见附件</w:t>
      </w:r>
      <w:r>
        <w:rPr>
          <w:rStyle w:val="10"/>
          <w:rFonts w:ascii="仿宋_GB2312" w:eastAsia="仿宋_GB2312"/>
          <w:sz w:val="32"/>
        </w:rPr>
        <w:t>1</w:t>
      </w:r>
      <w:r>
        <w:rPr>
          <w:rStyle w:val="10"/>
          <w:rFonts w:hint="eastAsia" w:ascii="仿宋_GB2312" w:eastAsia="仿宋_GB2312"/>
          <w:sz w:val="32"/>
        </w:rPr>
        <w:t>《大连商品交易所苯乙烯交割</w:t>
      </w:r>
      <w:r>
        <w:rPr>
          <w:rFonts w:hint="eastAsia" w:ascii="仿宋_GB2312" w:hAnsi="宋体" w:eastAsia="仿宋_GB2312" w:cs="宋体"/>
          <w:color w:val="000000"/>
          <w:kern w:val="0"/>
          <w:sz w:val="32"/>
        </w:rPr>
        <w:t>质量标准（</w:t>
      </w:r>
      <w:r>
        <w:rPr>
          <w:rFonts w:ascii="仿宋_GB2312" w:hAnsi="宋体" w:eastAsia="仿宋_GB2312" w:cs="宋体"/>
          <w:color w:val="000000"/>
          <w:kern w:val="0"/>
          <w:sz w:val="32"/>
        </w:rPr>
        <w:t>F/DCE EB001-2019）》。</w:t>
      </w:r>
    </w:p>
    <w:p>
      <w:pPr>
        <w:pStyle w:val="9"/>
        <w:ind w:firstLine="640"/>
        <w:rPr>
          <w:rFonts w:ascii="仿宋_GB2312" w:eastAsia="仿宋_GB2312"/>
          <w:sz w:val="32"/>
        </w:rPr>
      </w:pPr>
      <w:r>
        <w:rPr>
          <w:rFonts w:hint="eastAsia" w:ascii="仿宋_GB2312" w:eastAsia="仿宋_GB2312"/>
          <w:sz w:val="32"/>
        </w:rPr>
        <w:t>第五条</w:t>
      </w:r>
      <w:r>
        <w:rPr>
          <w:rFonts w:ascii="仿宋_GB2312" w:eastAsia="仿宋_GB2312"/>
          <w:sz w:val="32"/>
        </w:rPr>
        <w:t xml:space="preserve"> </w:t>
      </w:r>
      <w:r>
        <w:rPr>
          <w:rFonts w:hint="eastAsia" w:ascii="仿宋_GB2312" w:eastAsia="仿宋_GB2312"/>
          <w:sz w:val="32"/>
        </w:rPr>
        <w:t>苯乙烯期货合约采用实物交割。</w:t>
      </w:r>
    </w:p>
    <w:p>
      <w:pPr>
        <w:pStyle w:val="9"/>
        <w:ind w:firstLine="640"/>
        <w:rPr>
          <w:rFonts w:ascii="仿宋_GB2312" w:eastAsia="仿宋_GB2312"/>
          <w:sz w:val="32"/>
        </w:rPr>
      </w:pPr>
      <w:r>
        <w:rPr>
          <w:rFonts w:hint="eastAsia" w:ascii="仿宋_GB2312" w:eastAsia="仿宋_GB2312"/>
          <w:sz w:val="32"/>
        </w:rPr>
        <w:t>第六条</w:t>
      </w:r>
      <w:r>
        <w:rPr>
          <w:rFonts w:ascii="仿宋_GB2312" w:eastAsia="仿宋_GB2312"/>
          <w:sz w:val="32"/>
        </w:rPr>
        <w:t xml:space="preserve"> </w:t>
      </w:r>
      <w:r>
        <w:rPr>
          <w:rFonts w:hint="eastAsia" w:ascii="仿宋_GB2312" w:eastAsia="仿宋_GB2312"/>
          <w:sz w:val="32"/>
        </w:rPr>
        <w:t>苯乙烯指定交割仓库分为基准交割仓库和非基准交割仓库（详见附件</w:t>
      </w:r>
      <w:r>
        <w:rPr>
          <w:rFonts w:ascii="仿宋_GB2312" w:eastAsia="仿宋_GB2312"/>
          <w:sz w:val="32"/>
        </w:rPr>
        <w:t>2</w:t>
      </w:r>
      <w:r>
        <w:rPr>
          <w:rFonts w:hint="eastAsia" w:ascii="仿宋_GB2312" w:eastAsia="仿宋_GB2312"/>
          <w:sz w:val="32"/>
        </w:rPr>
        <w:t>《大连商品交易所苯乙烯指定交割仓库名录》），交易所可视情况对苯乙烯指定交割仓库进行调整。</w:t>
      </w:r>
    </w:p>
    <w:p>
      <w:pPr>
        <w:pStyle w:val="9"/>
        <w:ind w:firstLine="640"/>
        <w:rPr>
          <w:rFonts w:ascii="仿宋_GB2312" w:eastAsia="仿宋_GB2312"/>
          <w:sz w:val="32"/>
        </w:rPr>
      </w:pPr>
      <w:r>
        <w:rPr>
          <w:rFonts w:hint="eastAsia" w:ascii="仿宋_GB2312" w:eastAsia="仿宋_GB2312"/>
          <w:sz w:val="32"/>
        </w:rPr>
        <w:t>第七条</w:t>
      </w:r>
      <w:r>
        <w:rPr>
          <w:rFonts w:ascii="仿宋_GB2312" w:eastAsia="仿宋_GB2312"/>
          <w:sz w:val="32"/>
        </w:rPr>
        <w:t xml:space="preserve"> </w:t>
      </w:r>
      <w:r>
        <w:rPr>
          <w:rFonts w:hint="eastAsia" w:ascii="仿宋_GB2312" w:eastAsia="仿宋_GB2312"/>
          <w:sz w:val="32"/>
        </w:rPr>
        <w:t>苯乙烯期货合约的合约月份为</w:t>
      </w:r>
      <w:r>
        <w:rPr>
          <w:rFonts w:ascii="仿宋_GB2312" w:eastAsia="仿宋_GB2312"/>
          <w:sz w:val="32"/>
        </w:rPr>
        <w:t>1</w:t>
      </w:r>
      <w:r>
        <w:rPr>
          <w:rFonts w:hint="eastAsia" w:ascii="仿宋_GB2312" w:eastAsia="仿宋_GB2312"/>
          <w:sz w:val="32"/>
        </w:rPr>
        <w:t>、</w:t>
      </w:r>
      <w:r>
        <w:rPr>
          <w:rFonts w:ascii="仿宋_GB2312" w:eastAsia="仿宋_GB2312"/>
          <w:sz w:val="32"/>
        </w:rPr>
        <w:t>2</w:t>
      </w:r>
      <w:r>
        <w:rPr>
          <w:rFonts w:hint="eastAsia" w:ascii="仿宋_GB2312" w:eastAsia="仿宋_GB2312"/>
          <w:sz w:val="32"/>
        </w:rPr>
        <w:t>、</w:t>
      </w:r>
      <w:r>
        <w:rPr>
          <w:rFonts w:ascii="仿宋_GB2312" w:eastAsia="仿宋_GB2312"/>
          <w:sz w:val="32"/>
        </w:rPr>
        <w:t>3</w:t>
      </w:r>
      <w:r>
        <w:rPr>
          <w:rFonts w:hint="eastAsia" w:ascii="仿宋_GB2312" w:eastAsia="仿宋_GB2312"/>
          <w:sz w:val="32"/>
        </w:rPr>
        <w:t>、</w:t>
      </w:r>
      <w:r>
        <w:rPr>
          <w:rFonts w:ascii="仿宋_GB2312" w:eastAsia="仿宋_GB2312"/>
          <w:sz w:val="32"/>
        </w:rPr>
        <w:t>4</w:t>
      </w:r>
      <w:r>
        <w:rPr>
          <w:rFonts w:hint="eastAsia" w:ascii="仿宋_GB2312" w:eastAsia="仿宋_GB2312"/>
          <w:sz w:val="32"/>
        </w:rPr>
        <w:t>、</w:t>
      </w:r>
      <w:r>
        <w:rPr>
          <w:rFonts w:ascii="仿宋_GB2312" w:eastAsia="仿宋_GB2312"/>
          <w:sz w:val="32"/>
        </w:rPr>
        <w:t>5</w:t>
      </w:r>
      <w:r>
        <w:rPr>
          <w:rFonts w:hint="eastAsia" w:ascii="仿宋_GB2312" w:eastAsia="仿宋_GB2312"/>
          <w:sz w:val="32"/>
        </w:rPr>
        <w:t>、</w:t>
      </w:r>
      <w:r>
        <w:rPr>
          <w:rFonts w:ascii="仿宋_GB2312" w:eastAsia="仿宋_GB2312"/>
          <w:sz w:val="32"/>
        </w:rPr>
        <w:t>6</w:t>
      </w:r>
      <w:r>
        <w:rPr>
          <w:rFonts w:hint="eastAsia" w:ascii="仿宋_GB2312" w:eastAsia="仿宋_GB2312"/>
          <w:sz w:val="32"/>
        </w:rPr>
        <w:t>、</w:t>
      </w:r>
      <w:r>
        <w:rPr>
          <w:rFonts w:ascii="仿宋_GB2312" w:eastAsia="仿宋_GB2312"/>
          <w:sz w:val="32"/>
        </w:rPr>
        <w:t>7</w:t>
      </w:r>
      <w:r>
        <w:rPr>
          <w:rFonts w:hint="eastAsia" w:ascii="仿宋_GB2312" w:eastAsia="仿宋_GB2312"/>
          <w:sz w:val="32"/>
        </w:rPr>
        <w:t>、</w:t>
      </w:r>
      <w:r>
        <w:rPr>
          <w:rFonts w:ascii="仿宋_GB2312" w:eastAsia="仿宋_GB2312"/>
          <w:sz w:val="32"/>
        </w:rPr>
        <w:t>8</w:t>
      </w:r>
      <w:r>
        <w:rPr>
          <w:rFonts w:hint="eastAsia" w:ascii="仿宋_GB2312" w:eastAsia="仿宋_GB2312"/>
          <w:sz w:val="32"/>
        </w:rPr>
        <w:t>、</w:t>
      </w:r>
      <w:r>
        <w:rPr>
          <w:rFonts w:ascii="仿宋_GB2312" w:eastAsia="仿宋_GB2312"/>
          <w:sz w:val="32"/>
        </w:rPr>
        <w:t>9</w:t>
      </w:r>
      <w:r>
        <w:rPr>
          <w:rFonts w:hint="eastAsia" w:ascii="仿宋_GB2312" w:eastAsia="仿宋_GB2312"/>
          <w:sz w:val="32"/>
        </w:rPr>
        <w:t>、</w:t>
      </w:r>
      <w:r>
        <w:rPr>
          <w:rFonts w:ascii="仿宋_GB2312" w:eastAsia="仿宋_GB2312"/>
          <w:sz w:val="32"/>
        </w:rPr>
        <w:t>10</w:t>
      </w:r>
      <w:r>
        <w:rPr>
          <w:rFonts w:hint="eastAsia" w:ascii="仿宋_GB2312" w:eastAsia="仿宋_GB2312"/>
          <w:sz w:val="32"/>
        </w:rPr>
        <w:t>、</w:t>
      </w:r>
      <w:r>
        <w:rPr>
          <w:rFonts w:ascii="仿宋_GB2312" w:eastAsia="仿宋_GB2312"/>
          <w:sz w:val="32"/>
        </w:rPr>
        <w:t>11</w:t>
      </w:r>
      <w:r>
        <w:rPr>
          <w:rFonts w:hint="eastAsia" w:ascii="仿宋_GB2312" w:eastAsia="仿宋_GB2312"/>
          <w:sz w:val="32"/>
        </w:rPr>
        <w:t>、</w:t>
      </w:r>
      <w:r>
        <w:rPr>
          <w:rFonts w:ascii="仿宋_GB2312" w:eastAsia="仿宋_GB2312"/>
          <w:sz w:val="32"/>
        </w:rPr>
        <w:t>12</w:t>
      </w:r>
      <w:r>
        <w:rPr>
          <w:rFonts w:hint="eastAsia" w:ascii="仿宋_GB2312" w:eastAsia="仿宋_GB2312"/>
          <w:sz w:val="32"/>
        </w:rPr>
        <w:t>月。</w:t>
      </w:r>
    </w:p>
    <w:p>
      <w:pPr>
        <w:pStyle w:val="9"/>
        <w:ind w:firstLine="640"/>
        <w:rPr>
          <w:rFonts w:ascii="仿宋_GB2312" w:eastAsia="仿宋_GB2312"/>
          <w:sz w:val="32"/>
        </w:rPr>
      </w:pPr>
      <w:r>
        <w:rPr>
          <w:rFonts w:hint="eastAsia" w:ascii="仿宋_GB2312" w:eastAsia="仿宋_GB2312"/>
          <w:sz w:val="32"/>
        </w:rPr>
        <w:t>第八条</w:t>
      </w:r>
      <w:r>
        <w:rPr>
          <w:rFonts w:ascii="仿宋_GB2312" w:eastAsia="仿宋_GB2312"/>
          <w:sz w:val="32"/>
        </w:rPr>
        <w:t xml:space="preserve"> </w:t>
      </w:r>
      <w:r>
        <w:rPr>
          <w:rFonts w:hint="eastAsia" w:ascii="仿宋_GB2312" w:eastAsia="仿宋_GB2312"/>
          <w:sz w:val="32"/>
        </w:rPr>
        <w:t>苯乙烯期货合约的交易单位为</w:t>
      </w:r>
      <w:r>
        <w:rPr>
          <w:rFonts w:ascii="仿宋_GB2312" w:eastAsia="仿宋_GB2312"/>
          <w:sz w:val="32"/>
        </w:rPr>
        <w:t>5</w:t>
      </w:r>
      <w:r>
        <w:rPr>
          <w:rFonts w:hint="eastAsia" w:ascii="仿宋_GB2312" w:eastAsia="仿宋_GB2312"/>
          <w:sz w:val="32"/>
        </w:rPr>
        <w:t>吨</w:t>
      </w:r>
      <w:r>
        <w:rPr>
          <w:rFonts w:ascii="仿宋_GB2312" w:eastAsia="仿宋_GB2312"/>
          <w:sz w:val="32"/>
        </w:rPr>
        <w:t>/</w:t>
      </w:r>
      <w:r>
        <w:rPr>
          <w:rFonts w:hint="eastAsia" w:ascii="仿宋_GB2312" w:eastAsia="仿宋_GB2312"/>
          <w:sz w:val="32"/>
        </w:rPr>
        <w:t>手。</w:t>
      </w:r>
    </w:p>
    <w:p>
      <w:pPr>
        <w:pStyle w:val="9"/>
        <w:ind w:firstLine="640"/>
        <w:rPr>
          <w:rFonts w:ascii="仿宋_GB2312" w:eastAsia="仿宋_GB2312"/>
          <w:sz w:val="32"/>
        </w:rPr>
      </w:pPr>
      <w:r>
        <w:rPr>
          <w:rFonts w:hint="eastAsia" w:ascii="仿宋_GB2312" w:eastAsia="仿宋_GB2312"/>
          <w:sz w:val="32"/>
        </w:rPr>
        <w:t>第九条</w:t>
      </w:r>
      <w:r>
        <w:rPr>
          <w:rFonts w:ascii="仿宋_GB2312" w:eastAsia="仿宋_GB2312"/>
          <w:sz w:val="32"/>
        </w:rPr>
        <w:t xml:space="preserve"> </w:t>
      </w:r>
      <w:r>
        <w:rPr>
          <w:rFonts w:hint="eastAsia" w:ascii="仿宋_GB2312" w:eastAsia="仿宋_GB2312"/>
          <w:sz w:val="32"/>
        </w:rPr>
        <w:t>苯乙烯期货合约的报价单位为元（人民币）</w:t>
      </w:r>
      <w:r>
        <w:rPr>
          <w:rFonts w:ascii="仿宋_GB2312" w:eastAsia="仿宋_GB2312"/>
          <w:sz w:val="32"/>
        </w:rPr>
        <w:t>/</w:t>
      </w:r>
      <w:r>
        <w:rPr>
          <w:rFonts w:hint="eastAsia" w:ascii="仿宋_GB2312" w:eastAsia="仿宋_GB2312"/>
          <w:sz w:val="32"/>
        </w:rPr>
        <w:t>吨。</w:t>
      </w:r>
    </w:p>
    <w:p>
      <w:pPr>
        <w:pStyle w:val="9"/>
        <w:ind w:firstLine="640"/>
        <w:rPr>
          <w:rFonts w:ascii="仿宋_GB2312" w:eastAsia="仿宋_GB2312"/>
          <w:sz w:val="32"/>
        </w:rPr>
      </w:pPr>
      <w:r>
        <w:rPr>
          <w:rFonts w:hint="eastAsia" w:ascii="仿宋_GB2312" w:eastAsia="仿宋_GB2312"/>
          <w:sz w:val="32"/>
        </w:rPr>
        <w:t>第十条</w:t>
      </w:r>
      <w:r>
        <w:rPr>
          <w:rFonts w:ascii="仿宋_GB2312" w:eastAsia="仿宋_GB2312"/>
          <w:sz w:val="32"/>
        </w:rPr>
        <w:t xml:space="preserve"> </w:t>
      </w:r>
      <w:r>
        <w:rPr>
          <w:rFonts w:hint="eastAsia" w:ascii="仿宋_GB2312" w:eastAsia="仿宋_GB2312"/>
          <w:sz w:val="32"/>
        </w:rPr>
        <w:t>苯乙烯期货合约的最小变动价位为</w:t>
      </w:r>
      <w:r>
        <w:rPr>
          <w:rFonts w:ascii="仿宋_GB2312" w:eastAsia="仿宋_GB2312"/>
          <w:sz w:val="32"/>
        </w:rPr>
        <w:t>1</w:t>
      </w:r>
      <w:r>
        <w:rPr>
          <w:rFonts w:hint="eastAsia" w:ascii="仿宋_GB2312" w:eastAsia="仿宋_GB2312"/>
          <w:sz w:val="32"/>
        </w:rPr>
        <w:t>元</w:t>
      </w:r>
      <w:r>
        <w:rPr>
          <w:rFonts w:ascii="仿宋_GB2312" w:eastAsia="仿宋_GB2312"/>
          <w:sz w:val="32"/>
        </w:rPr>
        <w:t>/</w:t>
      </w:r>
      <w:r>
        <w:rPr>
          <w:rFonts w:hint="eastAsia" w:ascii="仿宋_GB2312" w:eastAsia="仿宋_GB2312"/>
          <w:sz w:val="32"/>
        </w:rPr>
        <w:t>吨。</w:t>
      </w:r>
    </w:p>
    <w:p>
      <w:pPr>
        <w:pStyle w:val="9"/>
        <w:ind w:firstLine="640"/>
        <w:rPr>
          <w:rFonts w:ascii="仿宋_GB2312" w:eastAsia="仿宋_GB2312"/>
          <w:sz w:val="32"/>
        </w:rPr>
      </w:pPr>
      <w:r>
        <w:rPr>
          <w:rFonts w:hint="eastAsia" w:ascii="仿宋_GB2312" w:eastAsia="仿宋_GB2312"/>
          <w:sz w:val="32"/>
        </w:rPr>
        <w:t>第十一条</w:t>
      </w:r>
      <w:r>
        <w:rPr>
          <w:rFonts w:ascii="仿宋_GB2312" w:eastAsia="仿宋_GB2312"/>
          <w:sz w:val="32"/>
        </w:rPr>
        <w:t xml:space="preserve"> </w:t>
      </w:r>
      <w:r>
        <w:rPr>
          <w:rFonts w:hint="eastAsia" w:ascii="仿宋_GB2312" w:eastAsia="仿宋_GB2312"/>
          <w:sz w:val="32"/>
        </w:rPr>
        <w:t>苯乙烯期货合约的交易指令每次最大下单数量为</w:t>
      </w:r>
      <w:r>
        <w:rPr>
          <w:rFonts w:ascii="仿宋_GB2312" w:eastAsia="仿宋_GB2312"/>
          <w:sz w:val="32"/>
        </w:rPr>
        <w:t>1000</w:t>
      </w:r>
      <w:r>
        <w:rPr>
          <w:rFonts w:hint="eastAsia" w:ascii="仿宋_GB2312" w:eastAsia="仿宋_GB2312"/>
          <w:sz w:val="32"/>
        </w:rPr>
        <w:t>手。</w:t>
      </w:r>
    </w:p>
    <w:p>
      <w:pPr>
        <w:pStyle w:val="9"/>
        <w:ind w:firstLine="640"/>
        <w:rPr>
          <w:rFonts w:ascii="仿宋_GB2312" w:eastAsia="仿宋_GB2312"/>
          <w:sz w:val="32"/>
        </w:rPr>
      </w:pPr>
      <w:r>
        <w:rPr>
          <w:rFonts w:hint="eastAsia" w:ascii="仿宋_GB2312" w:eastAsia="仿宋_GB2312"/>
          <w:sz w:val="32"/>
        </w:rPr>
        <w:t>第十二条</w:t>
      </w:r>
      <w:r>
        <w:rPr>
          <w:rFonts w:ascii="仿宋_GB2312" w:eastAsia="仿宋_GB2312"/>
          <w:sz w:val="32"/>
        </w:rPr>
        <w:t xml:space="preserve"> </w:t>
      </w:r>
      <w:r>
        <w:rPr>
          <w:rFonts w:hint="eastAsia" w:ascii="仿宋_GB2312" w:eastAsia="仿宋_GB2312"/>
          <w:sz w:val="32"/>
        </w:rPr>
        <w:t>苯乙烯期货合约的交易保证金标准、涨跌停板幅度和持仓限额，按照《大连商品交易所风险管理办法》相关规定执行。</w:t>
      </w:r>
    </w:p>
    <w:p>
      <w:pPr>
        <w:pStyle w:val="9"/>
        <w:ind w:firstLine="640"/>
        <w:rPr>
          <w:rFonts w:ascii="仿宋_GB2312" w:eastAsia="仿宋_GB2312"/>
          <w:sz w:val="32"/>
        </w:rPr>
      </w:pPr>
      <w:r>
        <w:rPr>
          <w:rFonts w:hint="eastAsia" w:ascii="仿宋_GB2312" w:eastAsia="仿宋_GB2312"/>
          <w:sz w:val="32"/>
        </w:rPr>
        <w:t>第十三条</w:t>
      </w:r>
      <w:r>
        <w:rPr>
          <w:rFonts w:ascii="仿宋_GB2312" w:eastAsia="仿宋_GB2312"/>
          <w:sz w:val="32"/>
        </w:rPr>
        <w:t xml:space="preserve"> </w:t>
      </w:r>
      <w:r>
        <w:rPr>
          <w:rFonts w:hint="eastAsia" w:ascii="仿宋_GB2312" w:eastAsia="仿宋_GB2312"/>
          <w:sz w:val="32"/>
        </w:rPr>
        <w:t>苯乙烯期货合约的最后交易日为合约月份倒数第</w:t>
      </w:r>
      <w:r>
        <w:rPr>
          <w:rFonts w:ascii="仿宋_GB2312" w:eastAsia="仿宋_GB2312"/>
          <w:sz w:val="32"/>
        </w:rPr>
        <w:t>4</w:t>
      </w:r>
      <w:r>
        <w:rPr>
          <w:rFonts w:hint="eastAsia" w:ascii="仿宋_GB2312" w:eastAsia="仿宋_GB2312"/>
          <w:sz w:val="32"/>
        </w:rPr>
        <w:t>个交易日。</w:t>
      </w:r>
    </w:p>
    <w:p>
      <w:pPr>
        <w:pStyle w:val="9"/>
        <w:ind w:firstLine="640"/>
        <w:rPr>
          <w:rFonts w:ascii="仿宋_GB2312" w:eastAsia="仿宋_GB2312"/>
          <w:sz w:val="32"/>
        </w:rPr>
      </w:pPr>
      <w:r>
        <w:rPr>
          <w:rFonts w:hint="eastAsia" w:ascii="仿宋_GB2312" w:eastAsia="仿宋_GB2312"/>
          <w:sz w:val="32"/>
        </w:rPr>
        <w:t>第十四条</w:t>
      </w:r>
      <w:r>
        <w:rPr>
          <w:rFonts w:ascii="仿宋_GB2312" w:eastAsia="仿宋_GB2312"/>
          <w:sz w:val="32"/>
        </w:rPr>
        <w:t xml:space="preserve"> </w:t>
      </w:r>
      <w:r>
        <w:rPr>
          <w:rFonts w:hint="eastAsia" w:ascii="仿宋_GB2312" w:eastAsia="仿宋_GB2312"/>
          <w:sz w:val="32"/>
        </w:rPr>
        <w:t>苯乙烯期货合约的最后交割日为最后交易日后第</w:t>
      </w:r>
      <w:r>
        <w:rPr>
          <w:rFonts w:ascii="仿宋_GB2312" w:eastAsia="仿宋_GB2312"/>
          <w:sz w:val="32"/>
        </w:rPr>
        <w:t>3</w:t>
      </w:r>
      <w:r>
        <w:rPr>
          <w:rFonts w:hint="eastAsia" w:ascii="仿宋_GB2312" w:eastAsia="仿宋_GB2312"/>
          <w:sz w:val="32"/>
        </w:rPr>
        <w:t>个交易日。</w:t>
      </w:r>
    </w:p>
    <w:p>
      <w:pPr>
        <w:pStyle w:val="9"/>
        <w:ind w:firstLine="640"/>
        <w:rPr>
          <w:rFonts w:ascii="仿宋_GB2312" w:eastAsia="仿宋_GB2312"/>
          <w:sz w:val="32"/>
        </w:rPr>
      </w:pPr>
      <w:r>
        <w:rPr>
          <w:rFonts w:hint="eastAsia" w:ascii="仿宋_GB2312" w:eastAsia="仿宋_GB2312"/>
          <w:sz w:val="32"/>
        </w:rPr>
        <w:t>第十五条</w:t>
      </w:r>
      <w:r>
        <w:rPr>
          <w:rFonts w:ascii="仿宋_GB2312" w:eastAsia="仿宋_GB2312"/>
          <w:sz w:val="32"/>
        </w:rPr>
        <w:t xml:space="preserve"> </w:t>
      </w:r>
      <w:r>
        <w:rPr>
          <w:rFonts w:hint="eastAsia" w:ascii="仿宋_GB2312" w:eastAsia="仿宋_GB2312"/>
          <w:sz w:val="32"/>
        </w:rPr>
        <w:t>苯乙烯期货合约的交易代码为</w:t>
      </w:r>
      <w:r>
        <w:rPr>
          <w:rFonts w:ascii="仿宋_GB2312" w:eastAsia="仿宋_GB2312"/>
          <w:sz w:val="32"/>
        </w:rPr>
        <w:t>EB</w:t>
      </w:r>
      <w:r>
        <w:rPr>
          <w:rFonts w:hint="eastAsia" w:ascii="仿宋_GB2312" w:eastAsia="仿宋_GB2312"/>
          <w:sz w:val="32"/>
        </w:rPr>
        <w:t>。</w:t>
      </w:r>
    </w:p>
    <w:p>
      <w:pPr>
        <w:pStyle w:val="8"/>
        <w:rPr>
          <w:rFonts w:ascii="仿宋_GB2312" w:eastAsia="仿宋_GB2312"/>
          <w:sz w:val="32"/>
        </w:rPr>
      </w:pPr>
      <w:r>
        <w:rPr>
          <w:rFonts w:hint="eastAsia" w:ascii="仿宋_GB2312" w:eastAsia="仿宋_GB2312"/>
          <w:sz w:val="32"/>
        </w:rPr>
        <w:t>第三章</w:t>
      </w:r>
      <w:r>
        <w:rPr>
          <w:rFonts w:ascii="仿宋_GB2312" w:eastAsia="仿宋_GB2312"/>
          <w:sz w:val="32"/>
        </w:rPr>
        <w:t xml:space="preserve"> </w:t>
      </w:r>
      <w:r>
        <w:rPr>
          <w:rFonts w:hint="eastAsia" w:ascii="仿宋_GB2312" w:eastAsia="仿宋_GB2312"/>
          <w:sz w:val="32"/>
        </w:rPr>
        <w:t>交割与结算</w:t>
      </w:r>
    </w:p>
    <w:p>
      <w:pPr>
        <w:pStyle w:val="8"/>
        <w:rPr>
          <w:rFonts w:ascii="仿宋_GB2312" w:eastAsia="仿宋_GB2312"/>
          <w:sz w:val="32"/>
        </w:rPr>
      </w:pPr>
      <w:r>
        <w:rPr>
          <w:rFonts w:hint="eastAsia" w:ascii="仿宋_GB2312" w:eastAsia="仿宋_GB2312"/>
          <w:sz w:val="32"/>
        </w:rPr>
        <w:t>第一节</w:t>
      </w:r>
      <w:r>
        <w:rPr>
          <w:rFonts w:ascii="仿宋_GB2312" w:eastAsia="仿宋_GB2312"/>
          <w:sz w:val="32"/>
        </w:rPr>
        <w:t xml:space="preserve"> </w:t>
      </w:r>
      <w:r>
        <w:rPr>
          <w:rFonts w:hint="eastAsia" w:ascii="仿宋_GB2312" w:eastAsia="仿宋_GB2312"/>
          <w:sz w:val="32"/>
        </w:rPr>
        <w:t>一般规定</w:t>
      </w:r>
    </w:p>
    <w:p>
      <w:pPr>
        <w:pStyle w:val="9"/>
        <w:ind w:firstLine="640"/>
        <w:rPr>
          <w:rFonts w:ascii="仿宋_GB2312" w:eastAsia="仿宋_GB2312"/>
          <w:sz w:val="32"/>
        </w:rPr>
      </w:pPr>
      <w:r>
        <w:rPr>
          <w:rFonts w:hint="eastAsia" w:ascii="仿宋_GB2312" w:eastAsia="仿宋_GB2312"/>
          <w:sz w:val="32"/>
        </w:rPr>
        <w:t>第十六条</w:t>
      </w:r>
      <w:r>
        <w:rPr>
          <w:rFonts w:ascii="仿宋_GB2312" w:eastAsia="仿宋_GB2312"/>
          <w:sz w:val="32"/>
        </w:rPr>
        <w:t xml:space="preserve"> </w:t>
      </w:r>
      <w:r>
        <w:rPr>
          <w:rFonts w:hint="eastAsia" w:ascii="仿宋_GB2312" w:eastAsia="仿宋_GB2312"/>
          <w:sz w:val="32"/>
        </w:rPr>
        <w:t>苯乙烯期货合约适用期货转现货（以下简称期转现）、滚动交割和一次性交割，除本细则规定外，具体流程按照《大连商品交易所交割管理办法》、《大连商品交易所结算管理办法》相关规定执行。</w:t>
      </w:r>
    </w:p>
    <w:p>
      <w:pPr>
        <w:pStyle w:val="9"/>
        <w:ind w:firstLine="640"/>
        <w:rPr>
          <w:rFonts w:ascii="仿宋_GB2312" w:eastAsia="仿宋_GB2312"/>
          <w:sz w:val="32"/>
        </w:rPr>
      </w:pPr>
      <w:r>
        <w:rPr>
          <w:rFonts w:hint="eastAsia" w:ascii="仿宋_GB2312" w:eastAsia="仿宋_GB2312"/>
          <w:sz w:val="32"/>
        </w:rPr>
        <w:t>第十七条</w:t>
      </w:r>
      <w:r>
        <w:rPr>
          <w:rFonts w:ascii="仿宋_GB2312" w:eastAsia="仿宋_GB2312"/>
          <w:sz w:val="32"/>
        </w:rPr>
        <w:t xml:space="preserve"> </w:t>
      </w:r>
      <w:r>
        <w:rPr>
          <w:rFonts w:hint="eastAsia" w:ascii="仿宋_GB2312" w:eastAsia="仿宋_GB2312"/>
          <w:sz w:val="32"/>
        </w:rPr>
        <w:t>提出期转现申请的，交易双方除了按照《大连商品交易所交割管理办法》规定提交期转现相关材料，还应当提交合法有效的苯乙烯生产、经营或使用资质证明。</w:t>
      </w:r>
    </w:p>
    <w:p>
      <w:pPr>
        <w:pStyle w:val="9"/>
        <w:ind w:firstLine="640"/>
        <w:rPr>
          <w:rFonts w:ascii="仿宋_GB2312" w:eastAsia="仿宋_GB2312"/>
          <w:sz w:val="32"/>
        </w:rPr>
      </w:pPr>
      <w:r>
        <w:rPr>
          <w:rFonts w:hint="eastAsia" w:ascii="仿宋_GB2312" w:eastAsia="仿宋_GB2312"/>
          <w:sz w:val="32"/>
        </w:rPr>
        <w:t>参与滚动交割和一次性交割的，客户应当通过会员在交收日</w:t>
      </w:r>
      <w:r>
        <w:rPr>
          <w:rFonts w:ascii="仿宋_GB2312" w:eastAsia="仿宋_GB2312"/>
          <w:sz w:val="32"/>
        </w:rPr>
        <w:t>14:30</w:t>
      </w:r>
      <w:r>
        <w:rPr>
          <w:rFonts w:hint="eastAsia" w:ascii="仿宋_GB2312" w:eastAsia="仿宋_GB2312"/>
          <w:sz w:val="32"/>
        </w:rPr>
        <w:t>前向交易所提交合法有效的苯乙烯生产、经营或使用资质证明。未在规定时间内提交的，视为不具备苯乙烯生产、经营或使用资质，并按照《大连商品交易所交割管理办法》相关规定处理。</w:t>
      </w:r>
    </w:p>
    <w:p>
      <w:pPr>
        <w:pStyle w:val="9"/>
        <w:ind w:firstLine="640"/>
        <w:rPr>
          <w:rFonts w:ascii="仿宋_GB2312" w:eastAsia="仿宋_GB2312"/>
          <w:sz w:val="32"/>
        </w:rPr>
      </w:pPr>
      <w:r>
        <w:rPr>
          <w:rFonts w:hint="eastAsia" w:ascii="仿宋_GB2312" w:eastAsia="仿宋_GB2312"/>
          <w:sz w:val="32"/>
        </w:rPr>
        <w:t>办理标准仓单转让业务的，交易双方应当在标准仓单转让申请中，通过会员向交易所提交合法有效的苯乙烯生产、经营或使用资质证明。</w:t>
      </w:r>
    </w:p>
    <w:p>
      <w:pPr>
        <w:pStyle w:val="9"/>
        <w:ind w:firstLine="640"/>
        <w:rPr>
          <w:rFonts w:ascii="仿宋_GB2312" w:eastAsia="仿宋_GB2312"/>
          <w:sz w:val="32"/>
        </w:rPr>
      </w:pPr>
      <w:r>
        <w:rPr>
          <w:rFonts w:hint="eastAsia" w:ascii="仿宋_GB2312" w:eastAsia="仿宋_GB2312"/>
          <w:sz w:val="32"/>
        </w:rPr>
        <w:t>第十八条</w:t>
      </w:r>
      <w:r>
        <w:rPr>
          <w:rFonts w:ascii="仿宋_GB2312" w:eastAsia="仿宋_GB2312"/>
          <w:sz w:val="32"/>
        </w:rPr>
        <w:t xml:space="preserve"> </w:t>
      </w:r>
      <w:r>
        <w:rPr>
          <w:rFonts w:hint="eastAsia" w:ascii="仿宋_GB2312" w:eastAsia="仿宋_GB2312"/>
          <w:sz w:val="32"/>
        </w:rPr>
        <w:t>一次性交割的交割结算价采用该期货合约交割月最后十个交易日所有成交价格的加权平均价，若交割月不足十个交易日，交割结算价采用该期货合约自交割月第一个交易日起至最后交易日所有成交价格的加权平均价。</w:t>
      </w:r>
    </w:p>
    <w:p>
      <w:pPr>
        <w:pStyle w:val="9"/>
        <w:ind w:firstLine="640"/>
        <w:rPr>
          <w:rFonts w:ascii="仿宋_GB2312" w:eastAsia="仿宋_GB2312"/>
          <w:sz w:val="32"/>
        </w:rPr>
      </w:pPr>
      <w:r>
        <w:rPr>
          <w:rFonts w:hint="eastAsia" w:ascii="仿宋_GB2312" w:eastAsia="仿宋_GB2312"/>
          <w:sz w:val="32"/>
        </w:rPr>
        <w:t>第十九条</w:t>
      </w:r>
      <w:r>
        <w:rPr>
          <w:rFonts w:ascii="仿宋_GB2312" w:eastAsia="仿宋_GB2312"/>
          <w:sz w:val="32"/>
        </w:rPr>
        <w:t xml:space="preserve"> </w:t>
      </w:r>
      <w:r>
        <w:rPr>
          <w:rFonts w:hint="eastAsia" w:ascii="仿宋_GB2312" w:eastAsia="仿宋_GB2312"/>
          <w:sz w:val="32"/>
        </w:rPr>
        <w:t>苯乙烯期货合约的交割单位为</w:t>
      </w:r>
      <w:r>
        <w:rPr>
          <w:rFonts w:ascii="仿宋_GB2312" w:eastAsia="仿宋_GB2312"/>
          <w:sz w:val="32"/>
        </w:rPr>
        <w:t>5</w:t>
      </w:r>
      <w:r>
        <w:rPr>
          <w:rFonts w:hint="eastAsia" w:ascii="仿宋_GB2312" w:eastAsia="仿宋_GB2312"/>
          <w:sz w:val="32"/>
        </w:rPr>
        <w:t>吨。</w:t>
      </w:r>
    </w:p>
    <w:p>
      <w:pPr>
        <w:pStyle w:val="9"/>
        <w:ind w:firstLine="640"/>
        <w:rPr>
          <w:rFonts w:ascii="仿宋_GB2312" w:eastAsia="仿宋_GB2312"/>
          <w:sz w:val="32"/>
        </w:rPr>
      </w:pPr>
      <w:r>
        <w:rPr>
          <w:rFonts w:hint="eastAsia" w:ascii="仿宋_GB2312" w:eastAsia="仿宋_GB2312"/>
          <w:sz w:val="32"/>
        </w:rPr>
        <w:t>第二十条</w:t>
      </w:r>
      <w:r>
        <w:rPr>
          <w:rFonts w:ascii="仿宋_GB2312" w:eastAsia="仿宋_GB2312"/>
          <w:sz w:val="32"/>
        </w:rPr>
        <w:t xml:space="preserve"> </w:t>
      </w:r>
      <w:r>
        <w:rPr>
          <w:rFonts w:hint="eastAsia" w:ascii="仿宋_GB2312" w:eastAsia="仿宋_GB2312"/>
          <w:sz w:val="32"/>
        </w:rPr>
        <w:t>苯乙烯标准仓单分为仓库标准仓单和厂库标准仓单。</w:t>
      </w:r>
    </w:p>
    <w:p>
      <w:pPr>
        <w:pStyle w:val="9"/>
        <w:ind w:firstLine="640"/>
        <w:rPr>
          <w:rFonts w:ascii="仿宋_GB2312" w:eastAsia="仿宋_GB2312"/>
          <w:sz w:val="32"/>
        </w:rPr>
      </w:pPr>
      <w:r>
        <w:rPr>
          <w:rFonts w:hint="eastAsia" w:ascii="仿宋_GB2312" w:eastAsia="仿宋_GB2312"/>
          <w:sz w:val="32"/>
        </w:rPr>
        <w:t>第二十一条</w:t>
      </w:r>
      <w:r>
        <w:rPr>
          <w:rFonts w:ascii="仿宋_GB2312" w:eastAsia="仿宋_GB2312"/>
          <w:sz w:val="32"/>
        </w:rPr>
        <w:t xml:space="preserve"> </w:t>
      </w:r>
      <w:r>
        <w:rPr>
          <w:rFonts w:hint="eastAsia" w:ascii="仿宋_GB2312" w:eastAsia="仿宋_GB2312"/>
          <w:sz w:val="32"/>
        </w:rPr>
        <w:t>苯乙烯交割开具增值税专用发票。</w:t>
      </w:r>
    </w:p>
    <w:p>
      <w:pPr>
        <w:pStyle w:val="9"/>
        <w:ind w:firstLine="640"/>
        <w:rPr>
          <w:rFonts w:ascii="仿宋_GB2312" w:eastAsia="仿宋_GB2312"/>
          <w:sz w:val="32"/>
        </w:rPr>
      </w:pPr>
      <w:r>
        <w:rPr>
          <w:rFonts w:hint="eastAsia" w:ascii="仿宋_GB2312" w:eastAsia="仿宋_GB2312"/>
          <w:sz w:val="32"/>
        </w:rPr>
        <w:t>第二十二条</w:t>
      </w:r>
      <w:r>
        <w:rPr>
          <w:rFonts w:ascii="仿宋_GB2312" w:eastAsia="仿宋_GB2312"/>
          <w:sz w:val="32"/>
        </w:rPr>
        <w:t xml:space="preserve"> </w:t>
      </w:r>
      <w:r>
        <w:rPr>
          <w:rFonts w:hint="eastAsia" w:ascii="仿宋_GB2312" w:eastAsia="仿宋_GB2312"/>
          <w:sz w:val="32"/>
        </w:rPr>
        <w:t>苯乙烯交割手续费为</w:t>
      </w:r>
      <w:r>
        <w:rPr>
          <w:rFonts w:ascii="仿宋_GB2312" w:eastAsia="仿宋_GB2312"/>
          <w:sz w:val="32"/>
        </w:rPr>
        <w:t>1</w:t>
      </w:r>
      <w:r>
        <w:rPr>
          <w:rFonts w:hint="eastAsia" w:ascii="仿宋_GB2312" w:eastAsia="仿宋_GB2312"/>
          <w:sz w:val="32"/>
        </w:rPr>
        <w:t>元</w:t>
      </w:r>
      <w:r>
        <w:rPr>
          <w:rFonts w:ascii="仿宋_GB2312" w:eastAsia="仿宋_GB2312"/>
          <w:sz w:val="32"/>
        </w:rPr>
        <w:t>/</w:t>
      </w:r>
      <w:r>
        <w:rPr>
          <w:rFonts w:hint="eastAsia" w:ascii="仿宋_GB2312" w:eastAsia="仿宋_GB2312"/>
          <w:sz w:val="32"/>
        </w:rPr>
        <w:t>吨；取样及检验收费实行最高限价，由交易所制定并公布；仓储费收取标准为</w:t>
      </w:r>
      <w:r>
        <w:rPr>
          <w:rFonts w:ascii="仿宋_GB2312" w:eastAsia="仿宋_GB2312"/>
          <w:sz w:val="32"/>
        </w:rPr>
        <w:t>1.6</w:t>
      </w:r>
      <w:r>
        <w:rPr>
          <w:rFonts w:hint="eastAsia" w:ascii="仿宋_GB2312" w:eastAsia="仿宋_GB2312"/>
          <w:sz w:val="32"/>
        </w:rPr>
        <w:t>元／吨·天；无损耗费。</w:t>
      </w:r>
    </w:p>
    <w:p>
      <w:pPr>
        <w:pStyle w:val="8"/>
        <w:rPr>
          <w:rFonts w:ascii="仿宋_GB2312" w:eastAsia="仿宋_GB2312"/>
          <w:sz w:val="32"/>
        </w:rPr>
      </w:pPr>
      <w:r>
        <w:rPr>
          <w:rFonts w:hint="eastAsia" w:ascii="仿宋_GB2312" w:eastAsia="仿宋_GB2312"/>
          <w:sz w:val="32"/>
        </w:rPr>
        <w:t>第二节</w:t>
      </w:r>
      <w:r>
        <w:rPr>
          <w:rFonts w:ascii="仿宋_GB2312" w:eastAsia="仿宋_GB2312"/>
          <w:sz w:val="32"/>
        </w:rPr>
        <w:t xml:space="preserve"> </w:t>
      </w:r>
      <w:r>
        <w:rPr>
          <w:rFonts w:hint="eastAsia" w:ascii="仿宋_GB2312" w:eastAsia="仿宋_GB2312"/>
          <w:sz w:val="32"/>
        </w:rPr>
        <w:t>标准仓单交割</w:t>
      </w:r>
    </w:p>
    <w:p>
      <w:pPr>
        <w:pStyle w:val="9"/>
        <w:ind w:firstLine="640"/>
        <w:rPr>
          <w:rFonts w:ascii="仿宋_GB2312" w:eastAsia="仿宋_GB2312"/>
          <w:sz w:val="32"/>
        </w:rPr>
      </w:pPr>
      <w:r>
        <w:rPr>
          <w:rFonts w:hint="eastAsia" w:ascii="仿宋_GB2312" w:eastAsia="仿宋_GB2312"/>
          <w:sz w:val="32"/>
        </w:rPr>
        <w:t>第二十三条</w:t>
      </w:r>
      <w:r>
        <w:rPr>
          <w:rFonts w:ascii="仿宋_GB2312" w:eastAsia="仿宋_GB2312"/>
          <w:sz w:val="32"/>
        </w:rPr>
        <w:t xml:space="preserve"> </w:t>
      </w:r>
      <w:r>
        <w:rPr>
          <w:rFonts w:hint="eastAsia" w:ascii="仿宋_GB2312" w:eastAsia="仿宋_GB2312"/>
          <w:sz w:val="32"/>
        </w:rPr>
        <w:t>标准仓单生成、流通、注销等相关业务，本细则未规定的，适用《大连商品交易所标准仓单管理办法》相关规定。</w:t>
      </w:r>
    </w:p>
    <w:p>
      <w:pPr>
        <w:pStyle w:val="9"/>
        <w:ind w:firstLine="640"/>
        <w:rPr>
          <w:rFonts w:ascii="仿宋_GB2312" w:eastAsia="仿宋_GB2312"/>
          <w:sz w:val="32"/>
        </w:rPr>
      </w:pPr>
      <w:r>
        <w:rPr>
          <w:rFonts w:hint="eastAsia" w:ascii="仿宋_GB2312" w:eastAsia="仿宋_GB2312"/>
          <w:sz w:val="32"/>
        </w:rPr>
        <w:t>第二十四条</w:t>
      </w:r>
      <w:r>
        <w:rPr>
          <w:rFonts w:ascii="仿宋_GB2312" w:eastAsia="仿宋_GB2312"/>
          <w:sz w:val="32"/>
        </w:rPr>
        <w:t xml:space="preserve"> </w:t>
      </w:r>
      <w:r>
        <w:rPr>
          <w:rFonts w:hint="eastAsia" w:ascii="仿宋_GB2312" w:eastAsia="仿宋_GB2312"/>
          <w:sz w:val="32"/>
        </w:rPr>
        <w:t>会员办理交割预报时，应当按</w:t>
      </w:r>
      <w:r>
        <w:rPr>
          <w:rFonts w:ascii="仿宋_GB2312" w:eastAsia="仿宋_GB2312"/>
          <w:sz w:val="32"/>
        </w:rPr>
        <w:t>30</w:t>
      </w:r>
      <w:r>
        <w:rPr>
          <w:rFonts w:hint="eastAsia" w:ascii="仿宋_GB2312" w:eastAsia="仿宋_GB2312"/>
          <w:sz w:val="32"/>
        </w:rPr>
        <w:t>元</w:t>
      </w:r>
      <w:r>
        <w:rPr>
          <w:rFonts w:ascii="仿宋_GB2312" w:eastAsia="仿宋_GB2312"/>
          <w:sz w:val="32"/>
        </w:rPr>
        <w:t>/</w:t>
      </w:r>
      <w:r>
        <w:rPr>
          <w:rFonts w:hint="eastAsia" w:ascii="仿宋_GB2312" w:eastAsia="仿宋_GB2312"/>
          <w:sz w:val="32"/>
        </w:rPr>
        <w:t>吨向交易所交纳交割预报定金。</w:t>
      </w:r>
    </w:p>
    <w:p>
      <w:pPr>
        <w:pStyle w:val="9"/>
        <w:ind w:firstLine="640"/>
        <w:rPr>
          <w:rFonts w:ascii="仿宋_GB2312" w:eastAsia="仿宋_GB2312"/>
          <w:sz w:val="32"/>
        </w:rPr>
      </w:pPr>
      <w:r>
        <w:rPr>
          <w:rFonts w:hint="eastAsia" w:ascii="仿宋_GB2312" w:eastAsia="仿宋_GB2312"/>
          <w:sz w:val="32"/>
        </w:rPr>
        <w:t>已存放在库的货物申请期货交割的，无需重新向所在仓库发货。</w:t>
      </w:r>
    </w:p>
    <w:p>
      <w:pPr>
        <w:pStyle w:val="9"/>
        <w:ind w:firstLine="640"/>
        <w:rPr>
          <w:rFonts w:ascii="仿宋_GB2312" w:eastAsia="仿宋_GB2312"/>
          <w:sz w:val="32"/>
        </w:rPr>
      </w:pPr>
      <w:r>
        <w:rPr>
          <w:rFonts w:hint="eastAsia" w:ascii="仿宋_GB2312" w:eastAsia="仿宋_GB2312"/>
          <w:sz w:val="32"/>
        </w:rPr>
        <w:t>第二十五条</w:t>
      </w:r>
      <w:r>
        <w:rPr>
          <w:rFonts w:ascii="仿宋_GB2312" w:eastAsia="仿宋_GB2312"/>
          <w:sz w:val="32"/>
        </w:rPr>
        <w:t xml:space="preserve"> </w:t>
      </w:r>
      <w:r>
        <w:rPr>
          <w:rFonts w:hint="eastAsia" w:ascii="仿宋_GB2312" w:eastAsia="仿宋_GB2312"/>
          <w:sz w:val="32"/>
        </w:rPr>
        <w:t>办理完交割预报的货主应当在入库前</w:t>
      </w:r>
      <w:r>
        <w:rPr>
          <w:rFonts w:ascii="仿宋_GB2312" w:eastAsia="仿宋_GB2312"/>
          <w:sz w:val="32"/>
        </w:rPr>
        <w:t>3</w:t>
      </w:r>
      <w:r>
        <w:rPr>
          <w:rFonts w:hint="eastAsia" w:ascii="仿宋_GB2312" w:eastAsia="仿宋_GB2312"/>
          <w:sz w:val="32"/>
        </w:rPr>
        <w:t>个自然日之前，将车船号、品种、数量、到货时间等通知指定交割仓库，指定交割仓库应当合理安排接收商品入库。</w:t>
      </w:r>
    </w:p>
    <w:p>
      <w:pPr>
        <w:pStyle w:val="9"/>
        <w:ind w:firstLine="640"/>
        <w:rPr>
          <w:rFonts w:ascii="仿宋_GB2312" w:eastAsia="仿宋_GB2312"/>
          <w:sz w:val="32"/>
        </w:rPr>
      </w:pPr>
      <w:r>
        <w:rPr>
          <w:rFonts w:hint="eastAsia" w:ascii="仿宋_GB2312" w:eastAsia="仿宋_GB2312"/>
          <w:sz w:val="32"/>
        </w:rPr>
        <w:t>第二十六条</w:t>
      </w:r>
      <w:r>
        <w:rPr>
          <w:rFonts w:ascii="仿宋_GB2312" w:eastAsia="仿宋_GB2312"/>
          <w:sz w:val="32"/>
        </w:rPr>
        <w:t xml:space="preserve"> </w:t>
      </w:r>
      <w:r>
        <w:rPr>
          <w:rFonts w:hint="eastAsia" w:ascii="仿宋_GB2312" w:eastAsia="仿宋_GB2312"/>
          <w:sz w:val="32"/>
        </w:rPr>
        <w:t>苯乙烯收发重量以指定交割仓库检重为准。检重时汽运以地磅计量为准，由指定交割仓库负责检重；火车和船运以储罐打尺计量为准，由指定交割仓库委托交易所指定的质量检验机构进行检重，检重费用由货主承担，由指定交割仓库负责转交。</w:t>
      </w:r>
    </w:p>
    <w:p>
      <w:pPr>
        <w:pStyle w:val="9"/>
        <w:ind w:firstLine="640"/>
        <w:rPr>
          <w:rFonts w:ascii="仿宋_GB2312" w:eastAsia="仿宋_GB2312"/>
          <w:sz w:val="32"/>
        </w:rPr>
      </w:pPr>
      <w:r>
        <w:rPr>
          <w:rFonts w:hint="eastAsia" w:ascii="仿宋_GB2312" w:eastAsia="仿宋_GB2312"/>
          <w:sz w:val="32"/>
        </w:rPr>
        <w:t>第二十七条</w:t>
      </w:r>
      <w:r>
        <w:rPr>
          <w:rFonts w:ascii="仿宋_GB2312" w:eastAsia="仿宋_GB2312"/>
          <w:sz w:val="32"/>
        </w:rPr>
        <w:t xml:space="preserve"> </w:t>
      </w:r>
      <w:r>
        <w:rPr>
          <w:rFonts w:hint="eastAsia" w:ascii="仿宋_GB2312" w:eastAsia="仿宋_GB2312"/>
          <w:sz w:val="32"/>
        </w:rPr>
        <w:t>指定交割仓库应当委托交易所指定的质量检验机构对入库商品进行质量检验。指定交割仓库应当在货物入库前</w:t>
      </w:r>
      <w:r>
        <w:rPr>
          <w:rFonts w:ascii="仿宋_GB2312" w:eastAsia="仿宋_GB2312"/>
          <w:sz w:val="32"/>
        </w:rPr>
        <w:t>3</w:t>
      </w:r>
      <w:r>
        <w:rPr>
          <w:rFonts w:hint="eastAsia" w:ascii="仿宋_GB2312" w:eastAsia="仿宋_GB2312"/>
          <w:sz w:val="32"/>
        </w:rPr>
        <w:t>个自然日之前，将到货方式、到货数量、到货时间等相关信息通知指定质量检验机构。检验费用由货主承担，由指定交割仓库负责转交。</w:t>
      </w:r>
    </w:p>
    <w:p>
      <w:pPr>
        <w:pStyle w:val="9"/>
        <w:ind w:firstLine="640"/>
        <w:rPr>
          <w:rFonts w:ascii="仿宋_GB2312" w:eastAsia="仿宋_GB2312"/>
          <w:sz w:val="32"/>
        </w:rPr>
      </w:pPr>
      <w:r>
        <w:rPr>
          <w:rFonts w:hint="eastAsia" w:ascii="仿宋_GB2312" w:eastAsia="仿宋_GB2312"/>
          <w:sz w:val="32"/>
        </w:rPr>
        <w:t>第二十八条</w:t>
      </w:r>
      <w:r>
        <w:rPr>
          <w:rFonts w:ascii="仿宋_GB2312" w:eastAsia="仿宋_GB2312"/>
          <w:sz w:val="32"/>
        </w:rPr>
        <w:t xml:space="preserve"> </w:t>
      </w:r>
      <w:r>
        <w:rPr>
          <w:rFonts w:hint="eastAsia" w:ascii="仿宋_GB2312" w:eastAsia="仿宋_GB2312"/>
          <w:sz w:val="32"/>
        </w:rPr>
        <w:t>期货、现货混罐存储的苯乙烯，指定交割仓库应确保整罐货物符合期货交割质量标准。</w:t>
      </w:r>
    </w:p>
    <w:p>
      <w:pPr>
        <w:pStyle w:val="9"/>
        <w:ind w:firstLine="640"/>
        <w:rPr>
          <w:rFonts w:ascii="仿宋_GB2312" w:eastAsia="仿宋_GB2312"/>
          <w:sz w:val="32"/>
        </w:rPr>
      </w:pPr>
      <w:r>
        <w:rPr>
          <w:rFonts w:hint="eastAsia" w:ascii="仿宋_GB2312" w:eastAsia="仿宋_GB2312"/>
          <w:sz w:val="32"/>
        </w:rPr>
        <w:t>第二十九条</w:t>
      </w:r>
      <w:r>
        <w:rPr>
          <w:rFonts w:ascii="仿宋_GB2312" w:eastAsia="仿宋_GB2312"/>
          <w:sz w:val="32"/>
        </w:rPr>
        <w:t xml:space="preserve"> </w:t>
      </w:r>
      <w:r>
        <w:rPr>
          <w:rFonts w:hint="eastAsia" w:ascii="仿宋_GB2312" w:eastAsia="仿宋_GB2312"/>
          <w:sz w:val="32"/>
        </w:rPr>
        <w:t>交易所指定的质量检验机构完成入库苯乙烯质量检验后，应当出具检验报告正本一份，副本三份，并将正本提交指定交割仓库，向交易所和货主分别提交副本一份。</w:t>
      </w:r>
    </w:p>
    <w:p>
      <w:pPr>
        <w:pStyle w:val="9"/>
        <w:ind w:firstLine="640"/>
        <w:rPr>
          <w:rFonts w:ascii="仿宋_GB2312" w:eastAsia="仿宋_GB2312"/>
          <w:sz w:val="32"/>
        </w:rPr>
      </w:pPr>
      <w:r>
        <w:rPr>
          <w:rFonts w:hint="eastAsia" w:ascii="仿宋_GB2312" w:eastAsia="仿宋_GB2312"/>
          <w:sz w:val="32"/>
        </w:rPr>
        <w:t>第三十条</w:t>
      </w:r>
      <w:r>
        <w:rPr>
          <w:rFonts w:ascii="仿宋_GB2312" w:eastAsia="仿宋_GB2312"/>
          <w:sz w:val="32"/>
        </w:rPr>
        <w:t xml:space="preserve"> </w:t>
      </w:r>
      <w:r>
        <w:rPr>
          <w:rFonts w:hint="eastAsia" w:ascii="仿宋_GB2312" w:eastAsia="仿宋_GB2312"/>
          <w:sz w:val="32"/>
        </w:rPr>
        <w:t>指定交割仓库应当按照交易所有关规定对入库商品的出厂检验报告或原产地证明等相关材料和凭证进行验收，并对货主的苯乙烯生产、经营或使用资质进行审验。</w:t>
      </w:r>
    </w:p>
    <w:p>
      <w:pPr>
        <w:pStyle w:val="9"/>
        <w:ind w:firstLine="640"/>
        <w:rPr>
          <w:rFonts w:ascii="仿宋_GB2312" w:eastAsia="仿宋_GB2312"/>
          <w:sz w:val="32"/>
        </w:rPr>
      </w:pPr>
      <w:r>
        <w:rPr>
          <w:rFonts w:hint="eastAsia" w:ascii="仿宋_GB2312" w:eastAsia="仿宋_GB2312"/>
          <w:sz w:val="32"/>
        </w:rPr>
        <w:t>第三十一条</w:t>
      </w:r>
      <w:r>
        <w:rPr>
          <w:rFonts w:ascii="仿宋_GB2312" w:eastAsia="仿宋_GB2312"/>
          <w:sz w:val="32"/>
        </w:rPr>
        <w:t xml:space="preserve"> </w:t>
      </w:r>
      <w:r>
        <w:rPr>
          <w:rFonts w:hint="eastAsia" w:ascii="仿宋_GB2312" w:eastAsia="仿宋_GB2312"/>
          <w:sz w:val="32"/>
        </w:rPr>
        <w:t>苯乙烯标准仓单在每个交割月份最后交割日前（含当日）应当进行标准仓单注销。</w:t>
      </w:r>
    </w:p>
    <w:p>
      <w:pPr>
        <w:pStyle w:val="9"/>
        <w:ind w:firstLine="640"/>
        <w:rPr>
          <w:rFonts w:ascii="仿宋_GB2312" w:eastAsia="仿宋_GB2312"/>
          <w:sz w:val="32"/>
        </w:rPr>
      </w:pPr>
      <w:r>
        <w:rPr>
          <w:rFonts w:hint="eastAsia" w:ascii="仿宋_GB2312" w:eastAsia="仿宋_GB2312"/>
          <w:sz w:val="32"/>
        </w:rPr>
        <w:t>第三十二条</w:t>
      </w:r>
      <w:r>
        <w:rPr>
          <w:rFonts w:ascii="仿宋_GB2312" w:eastAsia="仿宋_GB2312"/>
          <w:sz w:val="32"/>
        </w:rPr>
        <w:t xml:space="preserve"> </w:t>
      </w:r>
      <w:r>
        <w:rPr>
          <w:rFonts w:hint="eastAsia" w:ascii="仿宋_GB2312" w:eastAsia="仿宋_GB2312"/>
          <w:sz w:val="32"/>
        </w:rPr>
        <w:t>苯乙烯从仓库出库时，持有《提货通知单》或者提货密码的货主应当在实际提货日</w:t>
      </w:r>
      <w:r>
        <w:rPr>
          <w:rFonts w:ascii="仿宋_GB2312" w:eastAsia="仿宋_GB2312"/>
          <w:sz w:val="32"/>
        </w:rPr>
        <w:t>3</w:t>
      </w:r>
      <w:r>
        <w:rPr>
          <w:rFonts w:hint="eastAsia" w:ascii="仿宋_GB2312" w:eastAsia="仿宋_GB2312"/>
          <w:sz w:val="32"/>
        </w:rPr>
        <w:t>个自然日前与指定交割仓库联系有关出库事宜，并在标准仓单注销日后</w:t>
      </w:r>
      <w:r>
        <w:rPr>
          <w:rFonts w:ascii="仿宋_GB2312" w:eastAsia="仿宋_GB2312"/>
          <w:sz w:val="32"/>
        </w:rPr>
        <w:t>5</w:t>
      </w:r>
      <w:r>
        <w:rPr>
          <w:rFonts w:hint="eastAsia" w:ascii="仿宋_GB2312" w:eastAsia="仿宋_GB2312"/>
          <w:sz w:val="32"/>
        </w:rPr>
        <w:t>个工作日内（含当日）到指定交割仓库提货。</w:t>
      </w:r>
    </w:p>
    <w:p>
      <w:pPr>
        <w:pStyle w:val="9"/>
        <w:ind w:firstLine="640"/>
        <w:rPr>
          <w:rFonts w:ascii="仿宋_GB2312" w:eastAsia="仿宋_GB2312"/>
          <w:sz w:val="32"/>
        </w:rPr>
      </w:pPr>
      <w:r>
        <w:rPr>
          <w:rFonts w:hint="eastAsia" w:ascii="仿宋_GB2312" w:eastAsia="仿宋_GB2312"/>
          <w:sz w:val="32"/>
        </w:rPr>
        <w:t>第三十三条</w:t>
      </w:r>
      <w:r>
        <w:rPr>
          <w:rFonts w:ascii="仿宋_GB2312" w:eastAsia="仿宋_GB2312"/>
          <w:sz w:val="32"/>
        </w:rPr>
        <w:t xml:space="preserve"> </w:t>
      </w:r>
      <w:r>
        <w:rPr>
          <w:rFonts w:hint="eastAsia" w:ascii="仿宋_GB2312" w:eastAsia="仿宋_GB2312"/>
          <w:sz w:val="32"/>
        </w:rPr>
        <w:t>苯乙烯从厂库出库时，货主应当在标准仓单注销日后（不含注销日）的</w:t>
      </w:r>
      <w:r>
        <w:rPr>
          <w:rFonts w:ascii="仿宋_GB2312" w:eastAsia="仿宋_GB2312"/>
          <w:sz w:val="32"/>
        </w:rPr>
        <w:t>4</w:t>
      </w:r>
      <w:r>
        <w:rPr>
          <w:rFonts w:hint="eastAsia" w:ascii="仿宋_GB2312" w:eastAsia="仿宋_GB2312"/>
          <w:sz w:val="32"/>
        </w:rPr>
        <w:t>个自然日内（含当日）到厂库提货。厂库应当在标准仓单注销日后（不含注销日）的</w:t>
      </w:r>
      <w:r>
        <w:rPr>
          <w:rFonts w:ascii="仿宋_GB2312" w:eastAsia="仿宋_GB2312"/>
          <w:sz w:val="32"/>
        </w:rPr>
        <w:t>4</w:t>
      </w:r>
      <w:r>
        <w:rPr>
          <w:rFonts w:hint="eastAsia" w:ascii="仿宋_GB2312" w:eastAsia="仿宋_GB2312"/>
          <w:sz w:val="32"/>
        </w:rPr>
        <w:t>个自然日内（含当日）开始发货。</w:t>
      </w:r>
    </w:p>
    <w:p>
      <w:pPr>
        <w:pStyle w:val="9"/>
        <w:ind w:firstLine="640"/>
        <w:rPr>
          <w:rFonts w:ascii="仿宋_GB2312" w:eastAsia="仿宋_GB2312"/>
          <w:sz w:val="32"/>
        </w:rPr>
      </w:pPr>
      <w:r>
        <w:rPr>
          <w:rFonts w:hint="eastAsia" w:ascii="仿宋_GB2312" w:eastAsia="仿宋_GB2312"/>
          <w:sz w:val="32"/>
        </w:rPr>
        <w:t>厂库应当按合约要求的交割质量标准发货，并应当向货主出具产品原产地证明或出厂检验报告等货物来源及品质的相关材料和凭证。</w:t>
      </w:r>
    </w:p>
    <w:p>
      <w:pPr>
        <w:pStyle w:val="9"/>
        <w:ind w:firstLine="640"/>
        <w:rPr>
          <w:rFonts w:ascii="仿宋_GB2312" w:eastAsia="仿宋_GB2312"/>
          <w:sz w:val="32"/>
        </w:rPr>
      </w:pPr>
      <w:r>
        <w:rPr>
          <w:rFonts w:hint="eastAsia" w:ascii="仿宋_GB2312" w:eastAsia="仿宋_GB2312"/>
          <w:sz w:val="32"/>
        </w:rPr>
        <w:t>苯乙烯出库时，厂库应当在货主的监督下进行抽样，经双方确认后将样品封存，并将样品保留至发货日后的</w:t>
      </w:r>
      <w:r>
        <w:rPr>
          <w:rFonts w:ascii="仿宋_GB2312" w:eastAsia="仿宋_GB2312"/>
          <w:sz w:val="32"/>
        </w:rPr>
        <w:t>20</w:t>
      </w:r>
      <w:r>
        <w:rPr>
          <w:rFonts w:hint="eastAsia" w:ascii="仿宋_GB2312" w:eastAsia="仿宋_GB2312"/>
          <w:sz w:val="32"/>
        </w:rPr>
        <w:t>个自然日，作为发生质量争议时的处理依据。</w:t>
      </w:r>
    </w:p>
    <w:p>
      <w:pPr>
        <w:pStyle w:val="9"/>
        <w:ind w:firstLine="640"/>
        <w:rPr>
          <w:rFonts w:ascii="仿宋_GB2312" w:eastAsia="仿宋_GB2312"/>
          <w:sz w:val="32"/>
        </w:rPr>
      </w:pPr>
      <w:r>
        <w:rPr>
          <w:rFonts w:hint="eastAsia" w:ascii="仿宋_GB2312" w:eastAsia="仿宋_GB2312"/>
          <w:sz w:val="32"/>
        </w:rPr>
        <w:t>第三十四条</w:t>
      </w:r>
      <w:r>
        <w:rPr>
          <w:rFonts w:ascii="仿宋_GB2312" w:eastAsia="仿宋_GB2312"/>
          <w:sz w:val="32"/>
        </w:rPr>
        <w:t xml:space="preserve"> </w:t>
      </w:r>
      <w:r>
        <w:rPr>
          <w:rFonts w:hint="eastAsia" w:ascii="仿宋_GB2312" w:eastAsia="仿宋_GB2312"/>
          <w:sz w:val="32"/>
        </w:rPr>
        <w:t>厂库以不高于日发货速度向货主发货时，货主因运输能力等原因无法按时提货，货主应当向厂库支付滞纳金。滞纳金按照如下方法确定：</w:t>
      </w:r>
    </w:p>
    <w:p>
      <w:pPr>
        <w:pStyle w:val="9"/>
        <w:ind w:firstLine="640"/>
        <w:rPr>
          <w:rFonts w:ascii="仿宋_GB2312" w:eastAsia="仿宋_GB2312"/>
          <w:sz w:val="32"/>
        </w:rPr>
      </w:pPr>
      <w:r>
        <w:rPr>
          <w:rFonts w:hint="eastAsia" w:ascii="仿宋_GB2312" w:eastAsia="仿宋_GB2312"/>
          <w:sz w:val="32"/>
        </w:rPr>
        <w:t>（一）从开始提货之日（含当日）起，每日按照截至当日应提而未提的商品数量乘以相应的滞纳金标准计算出当日滞纳金金额；</w:t>
      </w:r>
    </w:p>
    <w:p>
      <w:pPr>
        <w:pStyle w:val="9"/>
        <w:ind w:firstLine="640"/>
        <w:rPr>
          <w:rFonts w:ascii="仿宋_GB2312" w:eastAsia="仿宋_GB2312"/>
          <w:sz w:val="32"/>
        </w:rPr>
      </w:pPr>
      <w:r>
        <w:rPr>
          <w:rFonts w:hint="eastAsia" w:ascii="仿宋_GB2312" w:eastAsia="仿宋_GB2312"/>
          <w:sz w:val="32"/>
        </w:rPr>
        <w:t>（二）直至完成提货之日（不含当日），在加总每日滞纳金金额的基础上，计算出货主应当向厂库支付的滞纳金总额。</w:t>
      </w:r>
    </w:p>
    <w:p>
      <w:pPr>
        <w:pStyle w:val="9"/>
        <w:ind w:firstLine="640"/>
        <w:rPr>
          <w:rFonts w:ascii="仿宋_GB2312" w:eastAsia="仿宋_GB2312"/>
          <w:sz w:val="32"/>
        </w:rPr>
      </w:pPr>
      <w:r>
        <w:rPr>
          <w:rFonts w:hint="eastAsia" w:ascii="仿宋_GB2312" w:eastAsia="仿宋_GB2312"/>
          <w:sz w:val="32"/>
        </w:rPr>
        <w:t>滞纳金标准为</w:t>
      </w:r>
      <w:r>
        <w:rPr>
          <w:rFonts w:ascii="仿宋_GB2312" w:eastAsia="仿宋_GB2312"/>
          <w:sz w:val="32"/>
        </w:rPr>
        <w:t>2</w:t>
      </w:r>
      <w:r>
        <w:rPr>
          <w:rFonts w:hint="eastAsia" w:ascii="仿宋_GB2312" w:eastAsia="仿宋_GB2312"/>
          <w:sz w:val="32"/>
        </w:rPr>
        <w:t>元</w:t>
      </w:r>
      <w:r>
        <w:rPr>
          <w:rFonts w:ascii="仿宋_GB2312" w:eastAsia="仿宋_GB2312"/>
          <w:sz w:val="32"/>
        </w:rPr>
        <w:t>/</w:t>
      </w:r>
      <w:r>
        <w:rPr>
          <w:rFonts w:hint="eastAsia" w:ascii="仿宋_GB2312" w:eastAsia="仿宋_GB2312"/>
          <w:sz w:val="32"/>
        </w:rPr>
        <w:t>吨·天。</w:t>
      </w:r>
    </w:p>
    <w:p>
      <w:pPr>
        <w:pStyle w:val="9"/>
        <w:ind w:firstLine="640"/>
        <w:rPr>
          <w:rFonts w:ascii="仿宋_GB2312" w:eastAsia="仿宋_GB2312"/>
          <w:sz w:val="32"/>
        </w:rPr>
      </w:pPr>
      <w:r>
        <w:rPr>
          <w:rFonts w:hint="eastAsia" w:ascii="仿宋_GB2312" w:eastAsia="仿宋_GB2312"/>
          <w:sz w:val="32"/>
        </w:rPr>
        <w:t>第三十五条</w:t>
      </w:r>
      <w:r>
        <w:rPr>
          <w:rFonts w:ascii="仿宋_GB2312" w:eastAsia="仿宋_GB2312"/>
          <w:sz w:val="32"/>
        </w:rPr>
        <w:t xml:space="preserve"> </w:t>
      </w:r>
      <w:r>
        <w:rPr>
          <w:rFonts w:hint="eastAsia" w:ascii="仿宋_GB2312" w:eastAsia="仿宋_GB2312"/>
          <w:sz w:val="32"/>
        </w:rPr>
        <w:t>在提货期限届满之日后（不含当日）且在标准仓单注销日后（不含注销日）的</w:t>
      </w:r>
      <w:r>
        <w:rPr>
          <w:rFonts w:ascii="仿宋_GB2312" w:eastAsia="仿宋_GB2312"/>
          <w:sz w:val="32"/>
        </w:rPr>
        <w:t>19</w:t>
      </w:r>
      <w:r>
        <w:rPr>
          <w:rFonts w:hint="eastAsia" w:ascii="仿宋_GB2312" w:eastAsia="仿宋_GB2312"/>
          <w:sz w:val="32"/>
        </w:rPr>
        <w:t>个自然日内（含当日）到厂库提货，货主应当向厂库支付滞纳金，厂库仍应按照期货标准承担有关的商品质量、发货时间和发货速度的责任，直至发完全部期货商品。</w:t>
      </w:r>
    </w:p>
    <w:p>
      <w:pPr>
        <w:pStyle w:val="9"/>
        <w:ind w:firstLine="640"/>
        <w:rPr>
          <w:rFonts w:ascii="仿宋_GB2312" w:eastAsia="仿宋_GB2312"/>
          <w:sz w:val="32"/>
        </w:rPr>
      </w:pPr>
      <w:r>
        <w:rPr>
          <w:rFonts w:hint="eastAsia" w:ascii="仿宋_GB2312" w:eastAsia="仿宋_GB2312"/>
          <w:sz w:val="32"/>
        </w:rPr>
        <w:t>滞纳金按照如下方法确定：</w:t>
      </w:r>
    </w:p>
    <w:p>
      <w:pPr>
        <w:pStyle w:val="9"/>
        <w:ind w:firstLine="640"/>
        <w:rPr>
          <w:rFonts w:ascii="仿宋_GB2312" w:eastAsia="仿宋_GB2312"/>
          <w:sz w:val="32"/>
        </w:rPr>
      </w:pPr>
      <w:r>
        <w:rPr>
          <w:rFonts w:hint="eastAsia" w:ascii="仿宋_GB2312" w:eastAsia="仿宋_GB2312"/>
          <w:sz w:val="32"/>
        </w:rPr>
        <w:t>（一）从提货期限届满之日（含当日）起，每日按照截至当日应提而未提的商品数量乘以相应的滞纳金标准计算出当日滞纳金金额；</w:t>
      </w:r>
    </w:p>
    <w:p>
      <w:pPr>
        <w:pStyle w:val="9"/>
        <w:ind w:firstLine="640"/>
        <w:rPr>
          <w:rFonts w:ascii="仿宋_GB2312" w:eastAsia="仿宋_GB2312"/>
          <w:sz w:val="32"/>
        </w:rPr>
      </w:pPr>
      <w:r>
        <w:rPr>
          <w:rFonts w:hint="eastAsia" w:ascii="仿宋_GB2312" w:eastAsia="仿宋_GB2312"/>
          <w:sz w:val="32"/>
        </w:rPr>
        <w:t>（二）直至完成提货之日（不含当日），在加总每日滞纳金金额的基础上，计算出货主应当向厂库支付的滞纳金总额。</w:t>
      </w:r>
    </w:p>
    <w:p>
      <w:pPr>
        <w:pStyle w:val="9"/>
        <w:ind w:firstLine="640"/>
        <w:rPr>
          <w:rFonts w:ascii="仿宋_GB2312" w:eastAsia="仿宋_GB2312"/>
          <w:sz w:val="32"/>
        </w:rPr>
      </w:pPr>
      <w:r>
        <w:rPr>
          <w:rFonts w:hint="eastAsia" w:ascii="仿宋_GB2312" w:eastAsia="仿宋_GB2312"/>
          <w:sz w:val="32"/>
        </w:rPr>
        <w:t>滞纳金标准为</w:t>
      </w:r>
      <w:r>
        <w:rPr>
          <w:rFonts w:ascii="仿宋_GB2312" w:eastAsia="仿宋_GB2312"/>
          <w:sz w:val="32"/>
        </w:rPr>
        <w:t>2</w:t>
      </w:r>
      <w:r>
        <w:rPr>
          <w:rFonts w:hint="eastAsia" w:ascii="仿宋_GB2312" w:eastAsia="仿宋_GB2312"/>
          <w:sz w:val="32"/>
        </w:rPr>
        <w:t>元</w:t>
      </w:r>
      <w:r>
        <w:rPr>
          <w:rFonts w:ascii="仿宋_GB2312" w:eastAsia="仿宋_GB2312"/>
          <w:sz w:val="32"/>
        </w:rPr>
        <w:t>/</w:t>
      </w:r>
      <w:r>
        <w:rPr>
          <w:rFonts w:hint="eastAsia" w:ascii="仿宋_GB2312" w:eastAsia="仿宋_GB2312"/>
          <w:sz w:val="32"/>
        </w:rPr>
        <w:t>吨·天。</w:t>
      </w:r>
    </w:p>
    <w:p>
      <w:pPr>
        <w:pStyle w:val="9"/>
        <w:ind w:firstLine="640"/>
        <w:rPr>
          <w:rFonts w:ascii="仿宋_GB2312" w:eastAsia="仿宋_GB2312"/>
          <w:sz w:val="32"/>
        </w:rPr>
      </w:pPr>
      <w:r>
        <w:rPr>
          <w:rFonts w:hint="eastAsia" w:ascii="仿宋_GB2312" w:eastAsia="仿宋_GB2312"/>
          <w:sz w:val="32"/>
        </w:rPr>
        <w:t>第三十六条</w:t>
      </w:r>
      <w:r>
        <w:rPr>
          <w:rFonts w:ascii="仿宋_GB2312" w:eastAsia="仿宋_GB2312"/>
          <w:sz w:val="32"/>
        </w:rPr>
        <w:t xml:space="preserve"> </w:t>
      </w:r>
      <w:r>
        <w:rPr>
          <w:rFonts w:hint="eastAsia" w:ascii="仿宋_GB2312" w:eastAsia="仿宋_GB2312"/>
          <w:sz w:val="32"/>
        </w:rPr>
        <w:t>在标准仓单注销日后（不含注销日）的</w:t>
      </w:r>
      <w:r>
        <w:rPr>
          <w:rFonts w:ascii="仿宋_GB2312" w:eastAsia="仿宋_GB2312"/>
          <w:sz w:val="32"/>
        </w:rPr>
        <w:t>19</w:t>
      </w:r>
      <w:r>
        <w:rPr>
          <w:rFonts w:hint="eastAsia" w:ascii="仿宋_GB2312" w:eastAsia="仿宋_GB2312"/>
          <w:sz w:val="32"/>
        </w:rPr>
        <w:t>个自然日后（不含当日）到厂库提货，货主应当以下述公式的计算方法向厂库支付滞纳金，同时厂库将不再按照期货标准承担有关的商品质量、发货时间和发货速度的责任。</w:t>
      </w:r>
    </w:p>
    <w:p>
      <w:pPr>
        <w:pStyle w:val="9"/>
        <w:ind w:firstLine="640"/>
        <w:rPr>
          <w:rFonts w:ascii="仿宋_GB2312" w:eastAsia="仿宋_GB2312"/>
          <w:sz w:val="32"/>
        </w:rPr>
      </w:pPr>
      <w:r>
        <w:rPr>
          <w:rFonts w:hint="eastAsia" w:ascii="仿宋_GB2312" w:eastAsia="仿宋_GB2312"/>
          <w:sz w:val="32"/>
        </w:rPr>
        <w:t>滞纳金金额</w:t>
      </w:r>
      <w:r>
        <w:rPr>
          <w:rFonts w:ascii="仿宋_GB2312" w:eastAsia="仿宋_GB2312"/>
          <w:sz w:val="32"/>
        </w:rPr>
        <w:t>=2</w:t>
      </w:r>
      <w:r>
        <w:rPr>
          <w:rFonts w:hint="eastAsia" w:ascii="仿宋_GB2312" w:eastAsia="仿宋_GB2312"/>
          <w:sz w:val="32"/>
        </w:rPr>
        <w:t>元</w:t>
      </w:r>
      <w:r>
        <w:rPr>
          <w:rFonts w:ascii="仿宋_GB2312" w:eastAsia="仿宋_GB2312"/>
          <w:sz w:val="32"/>
        </w:rPr>
        <w:t>/</w:t>
      </w:r>
      <w:r>
        <w:rPr>
          <w:rFonts w:hint="eastAsia" w:ascii="仿宋_GB2312" w:eastAsia="仿宋_GB2312"/>
          <w:sz w:val="32"/>
        </w:rPr>
        <w:t>吨·天×全部的商品数量×</w:t>
      </w:r>
      <w:r>
        <w:rPr>
          <w:rFonts w:ascii="仿宋_GB2312" w:eastAsia="仿宋_GB2312"/>
          <w:sz w:val="32"/>
        </w:rPr>
        <w:t>19</w:t>
      </w:r>
      <w:r>
        <w:rPr>
          <w:rFonts w:hint="eastAsia" w:ascii="仿宋_GB2312" w:eastAsia="仿宋_GB2312"/>
          <w:sz w:val="32"/>
        </w:rPr>
        <w:t>天</w:t>
      </w:r>
    </w:p>
    <w:p>
      <w:pPr>
        <w:pStyle w:val="9"/>
        <w:ind w:firstLine="640"/>
        <w:rPr>
          <w:rFonts w:ascii="仿宋_GB2312" w:eastAsia="仿宋_GB2312"/>
          <w:sz w:val="32"/>
        </w:rPr>
      </w:pPr>
      <w:r>
        <w:rPr>
          <w:rFonts w:hint="eastAsia" w:ascii="仿宋_GB2312" w:eastAsia="仿宋_GB2312"/>
          <w:sz w:val="32"/>
        </w:rPr>
        <w:t>第三十七条</w:t>
      </w:r>
      <w:r>
        <w:rPr>
          <w:rFonts w:ascii="仿宋_GB2312" w:eastAsia="仿宋_GB2312"/>
          <w:sz w:val="32"/>
        </w:rPr>
        <w:t xml:space="preserve"> </w:t>
      </w:r>
      <w:r>
        <w:rPr>
          <w:rFonts w:hint="eastAsia" w:ascii="仿宋_GB2312" w:eastAsia="仿宋_GB2312"/>
          <w:sz w:val="32"/>
        </w:rPr>
        <w:t>厂库未按规定的日发货速度发货，但按时完成了所有商品的发货，厂库应当向货主支付赔偿金。</w:t>
      </w:r>
    </w:p>
    <w:p>
      <w:pPr>
        <w:pStyle w:val="9"/>
        <w:ind w:firstLine="640"/>
        <w:rPr>
          <w:rFonts w:ascii="仿宋_GB2312" w:eastAsia="仿宋_GB2312"/>
          <w:sz w:val="32"/>
        </w:rPr>
      </w:pPr>
      <w:r>
        <w:rPr>
          <w:rFonts w:hint="eastAsia" w:ascii="仿宋_GB2312" w:eastAsia="仿宋_GB2312"/>
          <w:sz w:val="32"/>
        </w:rPr>
        <w:t>赔偿金金额</w:t>
      </w:r>
      <w:r>
        <w:rPr>
          <w:rFonts w:ascii="仿宋_GB2312" w:eastAsia="仿宋_GB2312"/>
          <w:sz w:val="32"/>
        </w:rPr>
        <w:t>=</w:t>
      </w:r>
      <w:r>
        <w:rPr>
          <w:rFonts w:hint="eastAsia" w:ascii="仿宋_GB2312" w:eastAsia="仿宋_GB2312"/>
          <w:sz w:val="32"/>
        </w:rPr>
        <w:t>该商品最近已交割月份交割结算价×按日出库速度应发而未发的商品数量×</w:t>
      </w:r>
      <w:r>
        <w:rPr>
          <w:rFonts w:ascii="仿宋_GB2312" w:eastAsia="仿宋_GB2312"/>
          <w:sz w:val="32"/>
        </w:rPr>
        <w:t>5%</w:t>
      </w:r>
    </w:p>
    <w:p>
      <w:pPr>
        <w:pStyle w:val="9"/>
        <w:ind w:firstLine="640"/>
        <w:rPr>
          <w:rFonts w:ascii="仿宋_GB2312" w:eastAsia="仿宋_GB2312"/>
          <w:sz w:val="32"/>
        </w:rPr>
      </w:pPr>
      <w:r>
        <w:rPr>
          <w:rFonts w:hint="eastAsia" w:ascii="仿宋_GB2312" w:eastAsia="仿宋_GB2312"/>
          <w:sz w:val="32"/>
        </w:rPr>
        <w:t>第三十八条</w:t>
      </w:r>
      <w:r>
        <w:rPr>
          <w:rFonts w:ascii="仿宋_GB2312" w:eastAsia="仿宋_GB2312"/>
          <w:sz w:val="32"/>
        </w:rPr>
        <w:t xml:space="preserve"> </w:t>
      </w:r>
      <w:r>
        <w:rPr>
          <w:rFonts w:hint="eastAsia" w:ascii="仿宋_GB2312" w:eastAsia="仿宋_GB2312"/>
          <w:sz w:val="32"/>
        </w:rPr>
        <w:t>厂库未按时完成所有商品的发货，在按本细则第三十七条规定进行赔偿的基础上，同时还应当向货主支付赔偿金，赔偿金金额</w:t>
      </w:r>
      <w:r>
        <w:rPr>
          <w:rFonts w:ascii="仿宋_GB2312" w:eastAsia="仿宋_GB2312"/>
          <w:sz w:val="32"/>
        </w:rPr>
        <w:t>=</w:t>
      </w:r>
      <w:r>
        <w:rPr>
          <w:rFonts w:hint="eastAsia" w:ascii="仿宋_GB2312" w:eastAsia="仿宋_GB2312"/>
          <w:sz w:val="32"/>
        </w:rPr>
        <w:t>该商品最近已交割月份交割结算价×按商品总量应发而未发的商品数量×</w:t>
      </w:r>
      <w:r>
        <w:rPr>
          <w:rFonts w:ascii="仿宋_GB2312" w:eastAsia="仿宋_GB2312"/>
          <w:sz w:val="32"/>
        </w:rPr>
        <w:t>5%</w:t>
      </w:r>
      <w:r>
        <w:rPr>
          <w:rFonts w:hint="eastAsia" w:ascii="仿宋_GB2312" w:eastAsia="仿宋_GB2312"/>
          <w:sz w:val="32"/>
        </w:rPr>
        <w:t>；并按照以下程序进行处理：</w:t>
      </w:r>
    </w:p>
    <w:p>
      <w:pPr>
        <w:pStyle w:val="9"/>
        <w:ind w:firstLine="640"/>
        <w:rPr>
          <w:rFonts w:ascii="仿宋_GB2312" w:eastAsia="仿宋_GB2312"/>
          <w:sz w:val="32"/>
        </w:rPr>
      </w:pPr>
      <w:r>
        <w:rPr>
          <w:rFonts w:hint="eastAsia" w:ascii="仿宋_GB2312" w:eastAsia="仿宋_GB2312"/>
          <w:sz w:val="32"/>
        </w:rPr>
        <w:t>（一）交易所向货主提供其它厂库或其它地点的相同质量和数量的现货商品，并承担调整交货地点和延期发货产生的全部费用。</w:t>
      </w:r>
    </w:p>
    <w:p>
      <w:pPr>
        <w:pStyle w:val="9"/>
        <w:ind w:firstLine="640"/>
        <w:rPr>
          <w:rFonts w:ascii="仿宋_GB2312" w:eastAsia="仿宋_GB2312"/>
          <w:sz w:val="32"/>
        </w:rPr>
      </w:pPr>
      <w:r>
        <w:rPr>
          <w:rFonts w:hint="eastAsia" w:ascii="仿宋_GB2312" w:eastAsia="仿宋_GB2312"/>
          <w:sz w:val="32"/>
        </w:rPr>
        <w:t>（二）交易所无法提供上述商品时，向货主返还货款并支付赔偿金。</w:t>
      </w:r>
    </w:p>
    <w:p>
      <w:pPr>
        <w:pStyle w:val="9"/>
        <w:ind w:firstLine="640"/>
        <w:rPr>
          <w:rFonts w:ascii="仿宋_GB2312" w:eastAsia="仿宋_GB2312"/>
          <w:sz w:val="32"/>
        </w:rPr>
      </w:pPr>
      <w:r>
        <w:rPr>
          <w:rFonts w:hint="eastAsia" w:ascii="仿宋_GB2312" w:eastAsia="仿宋_GB2312"/>
          <w:sz w:val="32"/>
        </w:rPr>
        <w:t>返还货款和赔偿金的金额</w:t>
      </w:r>
      <w:r>
        <w:rPr>
          <w:rFonts w:ascii="仿宋_GB2312" w:eastAsia="仿宋_GB2312"/>
          <w:sz w:val="32"/>
        </w:rPr>
        <w:t>=</w:t>
      </w:r>
      <w:r>
        <w:rPr>
          <w:rFonts w:hint="eastAsia" w:ascii="仿宋_GB2312" w:eastAsia="仿宋_GB2312"/>
          <w:sz w:val="32"/>
        </w:rPr>
        <w:t>该商品最近已交割月份交割结算价×按商品总量应发而未发的商品数量×</w:t>
      </w:r>
      <w:r>
        <w:rPr>
          <w:rFonts w:ascii="仿宋_GB2312" w:eastAsia="仿宋_GB2312"/>
          <w:sz w:val="32"/>
        </w:rPr>
        <w:t>120%</w:t>
      </w:r>
    </w:p>
    <w:p>
      <w:pPr>
        <w:pStyle w:val="9"/>
        <w:ind w:firstLine="640"/>
        <w:rPr>
          <w:rFonts w:ascii="仿宋_GB2312" w:eastAsia="仿宋_GB2312"/>
          <w:sz w:val="32"/>
        </w:rPr>
      </w:pPr>
      <w:r>
        <w:rPr>
          <w:rFonts w:hint="eastAsia" w:ascii="仿宋_GB2312" w:eastAsia="仿宋_GB2312"/>
          <w:sz w:val="32"/>
        </w:rPr>
        <w:t>第三十九条</w:t>
      </w:r>
      <w:r>
        <w:rPr>
          <w:rFonts w:ascii="仿宋_GB2312" w:eastAsia="仿宋_GB2312"/>
          <w:sz w:val="32"/>
        </w:rPr>
        <w:t xml:space="preserve"> </w:t>
      </w:r>
      <w:r>
        <w:rPr>
          <w:rFonts w:hint="eastAsia" w:ascii="仿宋_GB2312" w:eastAsia="仿宋_GB2312"/>
          <w:sz w:val="32"/>
        </w:rPr>
        <w:t>当厂库发生本细则第三十七条、第三十八条中的违约行为时，首先由厂库向货主支付赔偿金。厂库未支付的或者支付数额不足的，交易所按照《大连商品交易所标准仓单管理办法》相关规定处理。</w:t>
      </w:r>
    </w:p>
    <w:p>
      <w:pPr>
        <w:pStyle w:val="9"/>
        <w:ind w:firstLine="640"/>
        <w:rPr>
          <w:rFonts w:ascii="仿宋_GB2312" w:eastAsia="仿宋_GB2312"/>
          <w:sz w:val="32"/>
        </w:rPr>
      </w:pPr>
      <w:r>
        <w:rPr>
          <w:rFonts w:hint="eastAsia" w:ascii="仿宋_GB2312" w:eastAsia="仿宋_GB2312"/>
          <w:sz w:val="32"/>
        </w:rPr>
        <w:t>第四十条</w:t>
      </w:r>
      <w:r>
        <w:rPr>
          <w:rFonts w:ascii="仿宋_GB2312" w:eastAsia="仿宋_GB2312"/>
          <w:sz w:val="32"/>
        </w:rPr>
        <w:t xml:space="preserve"> </w:t>
      </w:r>
      <w:r>
        <w:rPr>
          <w:rFonts w:hint="eastAsia" w:ascii="仿宋_GB2312" w:eastAsia="仿宋_GB2312"/>
          <w:sz w:val="32"/>
        </w:rPr>
        <w:t>苯乙烯出库时，指定交割仓库应当核验货主的苯乙烯生产、经营或使用资质，以及相应运输方的运输资质。</w:t>
      </w:r>
    </w:p>
    <w:p>
      <w:pPr>
        <w:pStyle w:val="8"/>
        <w:rPr>
          <w:rFonts w:ascii="仿宋_GB2312" w:eastAsia="仿宋_GB2312"/>
          <w:sz w:val="32"/>
        </w:rPr>
      </w:pPr>
      <w:r>
        <w:rPr>
          <w:rFonts w:hint="eastAsia" w:ascii="仿宋_GB2312" w:eastAsia="仿宋_GB2312"/>
          <w:sz w:val="32"/>
        </w:rPr>
        <w:t>第四章</w:t>
      </w:r>
      <w:r>
        <w:rPr>
          <w:rFonts w:ascii="仿宋_GB2312" w:eastAsia="仿宋_GB2312"/>
          <w:sz w:val="32"/>
        </w:rPr>
        <w:t xml:space="preserve"> </w:t>
      </w:r>
      <w:r>
        <w:rPr>
          <w:rFonts w:hint="eastAsia" w:ascii="仿宋_GB2312" w:eastAsia="仿宋_GB2312"/>
          <w:sz w:val="32"/>
        </w:rPr>
        <w:t>附则</w:t>
      </w:r>
    </w:p>
    <w:p>
      <w:pPr>
        <w:pStyle w:val="9"/>
        <w:ind w:firstLine="640"/>
        <w:rPr>
          <w:rFonts w:ascii="仿宋_GB2312" w:eastAsia="仿宋_GB2312"/>
          <w:sz w:val="32"/>
        </w:rPr>
      </w:pPr>
      <w:r>
        <w:rPr>
          <w:rFonts w:hint="eastAsia" w:ascii="仿宋_GB2312" w:eastAsia="仿宋_GB2312"/>
          <w:sz w:val="32"/>
        </w:rPr>
        <w:t>第四十一条</w:t>
      </w:r>
      <w:r>
        <w:rPr>
          <w:rFonts w:ascii="仿宋_GB2312" w:eastAsia="仿宋_GB2312"/>
          <w:sz w:val="32"/>
        </w:rPr>
        <w:t xml:space="preserve"> </w:t>
      </w:r>
      <w:r>
        <w:rPr>
          <w:rFonts w:hint="eastAsia" w:ascii="仿宋_GB2312" w:eastAsia="仿宋_GB2312"/>
          <w:sz w:val="32"/>
        </w:rPr>
        <w:t>违反本细则规定的，交易所按照《大连商品交易所违规处理办法》和其他业务规则的有关规定处理。</w:t>
      </w:r>
    </w:p>
    <w:p>
      <w:pPr>
        <w:pStyle w:val="9"/>
        <w:ind w:firstLine="640"/>
        <w:rPr>
          <w:rFonts w:ascii="仿宋_GB2312" w:eastAsia="仿宋_GB2312"/>
          <w:sz w:val="32"/>
        </w:rPr>
      </w:pPr>
      <w:r>
        <w:rPr>
          <w:rFonts w:hint="eastAsia" w:ascii="仿宋_GB2312" w:eastAsia="仿宋_GB2312"/>
          <w:sz w:val="32"/>
        </w:rPr>
        <w:t>第四十二条</w:t>
      </w:r>
      <w:r>
        <w:rPr>
          <w:rFonts w:ascii="仿宋_GB2312" w:eastAsia="仿宋_GB2312"/>
          <w:sz w:val="32"/>
        </w:rPr>
        <w:t xml:space="preserve"> </w:t>
      </w:r>
      <w:r>
        <w:rPr>
          <w:rFonts w:hint="eastAsia" w:ascii="仿宋_GB2312" w:eastAsia="仿宋_GB2312"/>
          <w:sz w:val="32"/>
        </w:rPr>
        <w:t>本细则解释权属于大连商品交易所。</w:t>
      </w:r>
    </w:p>
    <w:p>
      <w:pPr>
        <w:pStyle w:val="9"/>
        <w:ind w:firstLine="640"/>
        <w:rPr>
          <w:rFonts w:ascii="仿宋_GB2312" w:eastAsia="仿宋_GB2312"/>
          <w:sz w:val="32"/>
        </w:rPr>
        <w:sectPr>
          <w:pgSz w:w="11906" w:h="16838"/>
          <w:pgMar w:top="1440" w:right="1800" w:bottom="1440" w:left="1800" w:header="851" w:footer="992" w:gutter="0"/>
          <w:cols w:space="425" w:num="1"/>
          <w:docGrid w:type="lines" w:linePitch="312" w:charSpace="0"/>
        </w:sectPr>
      </w:pPr>
      <w:r>
        <w:rPr>
          <w:rFonts w:hint="eastAsia" w:ascii="仿宋_GB2312" w:eastAsia="仿宋_GB2312"/>
          <w:sz w:val="32"/>
        </w:rPr>
        <w:t>第四十三条</w:t>
      </w:r>
      <w:r>
        <w:rPr>
          <w:rFonts w:ascii="仿宋_GB2312" w:eastAsia="仿宋_GB2312"/>
          <w:sz w:val="32"/>
        </w:rPr>
        <w:t xml:space="preserve"> </w:t>
      </w:r>
      <w:r>
        <w:rPr>
          <w:rFonts w:hint="eastAsia" w:ascii="仿宋_GB2312" w:eastAsia="仿宋_GB2312"/>
          <w:sz w:val="32"/>
        </w:rPr>
        <w:t>本细则自公布之日起实施。</w:t>
      </w:r>
    </w:p>
    <w:p>
      <w:pPr>
        <w:pStyle w:val="11"/>
        <w:rPr>
          <w:color w:val="000000"/>
          <w:sz w:val="28"/>
          <w:szCs w:val="28"/>
        </w:rPr>
      </w:pPr>
      <w:r>
        <w:t>附件</w:t>
      </w:r>
      <w:r>
        <w:rPr>
          <w:rFonts w:hint="eastAsia"/>
        </w:rPr>
        <w:t>1</w:t>
      </w:r>
      <w:r>
        <w:t>：</w:t>
      </w:r>
    </w:p>
    <w:p>
      <w:pPr>
        <w:adjustRightInd w:val="0"/>
        <w:snapToGrid w:val="0"/>
        <w:ind w:firstLine="640"/>
        <w:rPr>
          <w:color w:val="000000"/>
          <w:szCs w:val="32"/>
        </w:rPr>
      </w:pPr>
    </w:p>
    <w:p>
      <w:pPr>
        <w:pStyle w:val="4"/>
        <w:rPr>
          <w:rFonts w:ascii="仿宋_GB2312" w:eastAsia="仿宋_GB2312"/>
          <w:sz w:val="32"/>
        </w:rPr>
      </w:pPr>
      <w:r>
        <w:rPr>
          <w:rFonts w:hint="eastAsia" w:ascii="仿宋_GB2312" w:eastAsia="仿宋_GB2312"/>
          <w:sz w:val="32"/>
        </w:rPr>
        <w:t>大连商品交易所苯乙烯交割质量标准</w:t>
      </w:r>
    </w:p>
    <w:p>
      <w:pPr>
        <w:pStyle w:val="4"/>
        <w:rPr>
          <w:rFonts w:ascii="仿宋_GB2312" w:eastAsia="仿宋_GB2312"/>
          <w:color w:val="000000"/>
          <w:sz w:val="32"/>
        </w:rPr>
      </w:pPr>
      <w:r>
        <w:rPr>
          <w:rFonts w:hint="eastAsia" w:ascii="仿宋_GB2312" w:eastAsia="仿宋_GB2312"/>
          <w:color w:val="000000"/>
          <w:sz w:val="32"/>
        </w:rPr>
        <w:t>（</w:t>
      </w:r>
      <w:r>
        <w:rPr>
          <w:rFonts w:ascii="仿宋_GB2312" w:eastAsia="仿宋_GB2312"/>
          <w:color w:val="000000"/>
          <w:sz w:val="32"/>
        </w:rPr>
        <w:t>F/DCE EB001-2019</w:t>
      </w:r>
      <w:r>
        <w:rPr>
          <w:rFonts w:hint="eastAsia" w:ascii="仿宋_GB2312" w:eastAsia="仿宋_GB2312"/>
          <w:color w:val="000000"/>
          <w:sz w:val="32"/>
        </w:rPr>
        <w:t>）</w:t>
      </w:r>
    </w:p>
    <w:p>
      <w:pPr>
        <w:adjustRightInd w:val="0"/>
        <w:snapToGrid w:val="0"/>
        <w:ind w:firstLine="640"/>
        <w:jc w:val="center"/>
        <w:rPr>
          <w:rFonts w:ascii="仿宋_GB2312" w:hAnsi="宋体" w:eastAsia="仿宋_GB2312"/>
          <w:color w:val="000000"/>
          <w:sz w:val="32"/>
          <w:szCs w:val="32"/>
        </w:rPr>
      </w:pPr>
    </w:p>
    <w:p>
      <w:pPr>
        <w:pStyle w:val="9"/>
        <w:ind w:firstLine="640"/>
        <w:rPr>
          <w:rFonts w:ascii="仿宋_GB2312" w:eastAsia="仿宋_GB2312"/>
          <w:sz w:val="32"/>
        </w:rPr>
      </w:pPr>
      <w:r>
        <w:rPr>
          <w:rFonts w:ascii="仿宋_GB2312" w:eastAsia="仿宋_GB2312"/>
          <w:sz w:val="32"/>
        </w:rPr>
        <w:t>1</w:t>
      </w:r>
      <w:r>
        <w:rPr>
          <w:rFonts w:hint="eastAsia" w:ascii="仿宋_GB2312" w:eastAsia="仿宋_GB2312"/>
          <w:sz w:val="32"/>
        </w:rPr>
        <w:t>主题内容与适用范围</w:t>
      </w:r>
    </w:p>
    <w:p>
      <w:pPr>
        <w:pStyle w:val="9"/>
        <w:ind w:firstLine="640"/>
        <w:rPr>
          <w:rFonts w:ascii="仿宋_GB2312" w:eastAsia="仿宋_GB2312"/>
          <w:sz w:val="32"/>
        </w:rPr>
      </w:pPr>
      <w:r>
        <w:rPr>
          <w:rFonts w:ascii="仿宋_GB2312" w:eastAsia="仿宋_GB2312"/>
          <w:sz w:val="32"/>
        </w:rPr>
        <w:t>1.1</w:t>
      </w:r>
      <w:r>
        <w:rPr>
          <w:rFonts w:hint="eastAsia" w:ascii="仿宋_GB2312" w:eastAsia="仿宋_GB2312"/>
          <w:sz w:val="32"/>
        </w:rPr>
        <w:t>本标准规定了用于大连商品交易所交割的苯乙烯质量指标。</w:t>
      </w:r>
    </w:p>
    <w:p>
      <w:pPr>
        <w:pStyle w:val="9"/>
        <w:ind w:firstLine="640"/>
        <w:rPr>
          <w:rFonts w:ascii="仿宋_GB2312" w:eastAsia="仿宋_GB2312"/>
          <w:sz w:val="32"/>
        </w:rPr>
      </w:pPr>
      <w:r>
        <w:rPr>
          <w:rFonts w:ascii="仿宋_GB2312" w:eastAsia="仿宋_GB2312"/>
          <w:sz w:val="32"/>
        </w:rPr>
        <w:t>1.2</w:t>
      </w:r>
      <w:r>
        <w:rPr>
          <w:rFonts w:hint="eastAsia" w:ascii="仿宋_GB2312" w:eastAsia="仿宋_GB2312"/>
          <w:sz w:val="32"/>
        </w:rPr>
        <w:t>本标准适用于大连商品交易所苯乙烯期货合约交割标准品。</w:t>
      </w:r>
    </w:p>
    <w:p>
      <w:pPr>
        <w:pStyle w:val="9"/>
        <w:ind w:firstLine="640"/>
        <w:rPr>
          <w:rFonts w:ascii="仿宋_GB2312" w:eastAsia="仿宋_GB2312"/>
          <w:sz w:val="32"/>
        </w:rPr>
      </w:pPr>
      <w:r>
        <w:rPr>
          <w:rFonts w:ascii="仿宋_GB2312" w:eastAsia="仿宋_GB2312"/>
          <w:sz w:val="32"/>
        </w:rPr>
        <w:t xml:space="preserve">2 </w:t>
      </w:r>
      <w:r>
        <w:rPr>
          <w:rFonts w:hint="eastAsia" w:ascii="仿宋_GB2312" w:eastAsia="仿宋_GB2312"/>
          <w:sz w:val="32"/>
        </w:rPr>
        <w:t>规范性引用文件</w:t>
      </w:r>
    </w:p>
    <w:p>
      <w:pPr>
        <w:pStyle w:val="9"/>
        <w:ind w:firstLine="640"/>
        <w:rPr>
          <w:rFonts w:ascii="仿宋_GB2312" w:eastAsia="仿宋_GB2312"/>
          <w:sz w:val="32"/>
        </w:rPr>
      </w:pPr>
      <w:r>
        <w:rPr>
          <w:rFonts w:hint="eastAsia" w:ascii="仿宋_GB2312" w:eastAsia="仿宋_GB2312"/>
          <w:sz w:val="32"/>
        </w:rPr>
        <w:t>下列文件中的条款通过本标准的引用而成为本标准的条款。凡是注日期的引用文件，其随后所有的修改单（不包括勘误的内容）或修订版均不适用于本标准。凡是不注日期的引用文件，其最新版本适用于本标准。</w:t>
      </w:r>
    </w:p>
    <w:p>
      <w:pPr>
        <w:pStyle w:val="9"/>
        <w:ind w:firstLine="640"/>
        <w:rPr>
          <w:rFonts w:ascii="仿宋_GB2312" w:eastAsia="仿宋_GB2312"/>
          <w:sz w:val="32"/>
        </w:rPr>
      </w:pPr>
      <w:r>
        <w:rPr>
          <w:rFonts w:ascii="仿宋_GB2312" w:eastAsia="仿宋_GB2312"/>
          <w:sz w:val="32"/>
        </w:rPr>
        <w:t xml:space="preserve">GB/T 6678 </w:t>
      </w:r>
      <w:r>
        <w:rPr>
          <w:rFonts w:hint="eastAsia" w:ascii="仿宋_GB2312" w:eastAsia="仿宋_GB2312"/>
          <w:sz w:val="32"/>
        </w:rPr>
        <w:t>化工产品采样总则</w:t>
      </w:r>
    </w:p>
    <w:p>
      <w:pPr>
        <w:pStyle w:val="9"/>
        <w:ind w:firstLine="640"/>
        <w:rPr>
          <w:rFonts w:ascii="仿宋_GB2312" w:eastAsia="仿宋_GB2312"/>
          <w:sz w:val="32"/>
        </w:rPr>
      </w:pPr>
      <w:r>
        <w:rPr>
          <w:rFonts w:ascii="仿宋_GB2312" w:eastAsia="仿宋_GB2312"/>
          <w:sz w:val="32"/>
        </w:rPr>
        <w:t xml:space="preserve">GB/T 6680 </w:t>
      </w:r>
      <w:r>
        <w:rPr>
          <w:rFonts w:hint="eastAsia" w:ascii="仿宋_GB2312" w:eastAsia="仿宋_GB2312"/>
          <w:sz w:val="32"/>
        </w:rPr>
        <w:t>液体化工产品采样通则</w:t>
      </w:r>
    </w:p>
    <w:p>
      <w:pPr>
        <w:pStyle w:val="9"/>
        <w:ind w:firstLine="640"/>
        <w:rPr>
          <w:rFonts w:ascii="仿宋_GB2312" w:eastAsia="仿宋_GB2312"/>
          <w:sz w:val="32"/>
        </w:rPr>
      </w:pPr>
      <w:r>
        <w:rPr>
          <w:rFonts w:ascii="仿宋_GB2312" w:eastAsia="仿宋_GB2312"/>
          <w:sz w:val="32"/>
        </w:rPr>
        <w:t xml:space="preserve">GB/T 3915 </w:t>
      </w:r>
      <w:r>
        <w:rPr>
          <w:rFonts w:hint="eastAsia" w:ascii="仿宋_GB2312" w:eastAsia="仿宋_GB2312"/>
          <w:sz w:val="32"/>
        </w:rPr>
        <w:t>工业用苯乙烯</w:t>
      </w:r>
    </w:p>
    <w:p>
      <w:pPr>
        <w:pStyle w:val="9"/>
        <w:ind w:firstLine="640"/>
        <w:rPr>
          <w:rFonts w:ascii="仿宋_GB2312" w:eastAsia="仿宋_GB2312"/>
          <w:sz w:val="32"/>
        </w:rPr>
      </w:pPr>
      <w:r>
        <w:rPr>
          <w:rFonts w:ascii="仿宋_GB2312" w:eastAsia="仿宋_GB2312"/>
          <w:sz w:val="32"/>
        </w:rPr>
        <w:t xml:space="preserve">SH/T 0689-2000 </w:t>
      </w:r>
      <w:r>
        <w:rPr>
          <w:rFonts w:hint="eastAsia" w:ascii="仿宋_GB2312" w:eastAsia="仿宋_GB2312"/>
          <w:sz w:val="32"/>
        </w:rPr>
        <w:t>轻质烃及发动机燃料和其他油品的总硫含量测定法（紫外荧光法）</w:t>
      </w:r>
    </w:p>
    <w:p>
      <w:pPr>
        <w:pStyle w:val="9"/>
        <w:ind w:firstLine="640"/>
        <w:rPr>
          <w:rFonts w:ascii="仿宋_GB2312" w:eastAsia="仿宋_GB2312"/>
          <w:sz w:val="32"/>
        </w:rPr>
      </w:pPr>
      <w:r>
        <w:rPr>
          <w:rFonts w:ascii="仿宋_GB2312" w:eastAsia="仿宋_GB2312"/>
          <w:sz w:val="32"/>
        </w:rPr>
        <w:t xml:space="preserve">3 </w:t>
      </w:r>
      <w:r>
        <w:rPr>
          <w:rFonts w:hint="eastAsia" w:ascii="仿宋_GB2312" w:eastAsia="仿宋_GB2312"/>
          <w:sz w:val="32"/>
        </w:rPr>
        <w:t>术语和定义</w:t>
      </w:r>
    </w:p>
    <w:p>
      <w:pPr>
        <w:pStyle w:val="9"/>
        <w:ind w:firstLine="640"/>
        <w:rPr>
          <w:rFonts w:ascii="仿宋_GB2312" w:eastAsia="仿宋_GB2312"/>
          <w:sz w:val="32"/>
        </w:rPr>
      </w:pPr>
      <w:r>
        <w:rPr>
          <w:rFonts w:hint="eastAsia" w:ascii="仿宋_GB2312" w:eastAsia="仿宋_GB2312"/>
          <w:sz w:val="32"/>
        </w:rPr>
        <w:t>应符合</w:t>
      </w:r>
      <w:r>
        <w:rPr>
          <w:rFonts w:ascii="仿宋_GB2312" w:eastAsia="仿宋_GB2312"/>
          <w:sz w:val="32"/>
        </w:rPr>
        <w:t>GB/T 3915</w:t>
      </w:r>
      <w:r>
        <w:rPr>
          <w:rFonts w:hint="eastAsia" w:ascii="仿宋_GB2312" w:eastAsia="仿宋_GB2312"/>
          <w:sz w:val="32"/>
        </w:rPr>
        <w:t>及其引用标准中术语和定义的有关规定。</w:t>
      </w:r>
    </w:p>
    <w:p>
      <w:pPr>
        <w:pStyle w:val="9"/>
        <w:ind w:firstLine="640"/>
        <w:rPr>
          <w:rFonts w:ascii="仿宋_GB2312" w:eastAsia="仿宋_GB2312"/>
          <w:sz w:val="32"/>
        </w:rPr>
      </w:pPr>
      <w:r>
        <w:rPr>
          <w:rFonts w:ascii="仿宋_GB2312" w:eastAsia="仿宋_GB2312"/>
          <w:sz w:val="32"/>
        </w:rPr>
        <w:t xml:space="preserve">4 </w:t>
      </w:r>
      <w:r>
        <w:rPr>
          <w:rFonts w:hint="eastAsia" w:ascii="仿宋_GB2312" w:eastAsia="仿宋_GB2312"/>
          <w:sz w:val="32"/>
        </w:rPr>
        <w:t>技术要求</w:t>
      </w:r>
    </w:p>
    <w:p>
      <w:pPr>
        <w:pStyle w:val="9"/>
        <w:ind w:firstLine="640"/>
        <w:jc w:val="center"/>
        <w:rPr>
          <w:rFonts w:ascii="仿宋_GB2312" w:eastAsia="仿宋_GB2312"/>
          <w:sz w:val="32"/>
        </w:rPr>
      </w:pPr>
    </w:p>
    <w:p>
      <w:pPr>
        <w:pStyle w:val="9"/>
        <w:ind w:firstLine="640"/>
        <w:jc w:val="center"/>
        <w:rPr>
          <w:rFonts w:ascii="仿宋_GB2312" w:eastAsia="仿宋_GB2312"/>
          <w:sz w:val="32"/>
        </w:rPr>
      </w:pPr>
      <w:r>
        <w:rPr>
          <w:rFonts w:hint="eastAsia" w:ascii="仿宋_GB2312" w:eastAsia="仿宋_GB2312"/>
          <w:sz w:val="32"/>
        </w:rPr>
        <w:t>表</w:t>
      </w:r>
      <w:r>
        <w:rPr>
          <w:rFonts w:ascii="仿宋_GB2312" w:eastAsia="仿宋_GB2312"/>
          <w:sz w:val="32"/>
        </w:rPr>
        <w:t xml:space="preserve">1 </w:t>
      </w:r>
      <w:r>
        <w:rPr>
          <w:rFonts w:hint="eastAsia" w:ascii="仿宋_GB2312" w:eastAsia="仿宋_GB2312"/>
          <w:sz w:val="32"/>
        </w:rPr>
        <w:t>苯乙烯交割质量指标</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3932"/>
        <w:gridCol w:w="1860"/>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510" w:type="pct"/>
            <w:shd w:val="clear" w:color="auto" w:fill="auto"/>
            <w:noWrap w:val="0"/>
            <w:vAlign w:val="center"/>
          </w:tcPr>
          <w:p>
            <w:pPr>
              <w:pStyle w:val="12"/>
              <w:rPr>
                <w:rFonts w:ascii="仿宋_GB2312" w:eastAsia="仿宋_GB2312"/>
                <w:sz w:val="32"/>
              </w:rPr>
            </w:pPr>
            <w:r>
              <w:rPr>
                <w:rFonts w:hint="eastAsia" w:ascii="仿宋_GB2312" w:eastAsia="仿宋_GB2312"/>
                <w:sz w:val="32"/>
              </w:rPr>
              <w:t>序号</w:t>
            </w:r>
          </w:p>
        </w:tc>
        <w:tc>
          <w:tcPr>
            <w:tcW w:w="2307" w:type="pct"/>
            <w:shd w:val="clear" w:color="auto" w:fill="auto"/>
            <w:noWrap w:val="0"/>
            <w:vAlign w:val="center"/>
          </w:tcPr>
          <w:p>
            <w:pPr>
              <w:pStyle w:val="12"/>
              <w:rPr>
                <w:rFonts w:ascii="仿宋_GB2312" w:eastAsia="仿宋_GB2312"/>
                <w:sz w:val="32"/>
              </w:rPr>
            </w:pPr>
            <w:r>
              <w:rPr>
                <w:rFonts w:hint="eastAsia" w:ascii="仿宋_GB2312" w:eastAsia="仿宋_GB2312"/>
                <w:sz w:val="32"/>
              </w:rPr>
              <w:t>项目</w:t>
            </w:r>
          </w:p>
        </w:tc>
        <w:tc>
          <w:tcPr>
            <w:tcW w:w="2183" w:type="pct"/>
            <w:gridSpan w:val="2"/>
            <w:shd w:val="clear" w:color="auto" w:fill="auto"/>
            <w:noWrap w:val="0"/>
            <w:vAlign w:val="center"/>
          </w:tcPr>
          <w:p>
            <w:pPr>
              <w:pStyle w:val="12"/>
              <w:rPr>
                <w:rFonts w:ascii="仿宋_GB2312" w:eastAsia="仿宋_GB2312"/>
                <w:sz w:val="32"/>
              </w:rPr>
            </w:pPr>
            <w:r>
              <w:rPr>
                <w:rFonts w:hint="eastAsia" w:ascii="仿宋_GB2312" w:eastAsia="仿宋_GB2312"/>
                <w:sz w:val="32"/>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0" w:type="pct"/>
            <w:shd w:val="clear" w:color="auto" w:fill="auto"/>
            <w:noWrap w:val="0"/>
            <w:vAlign w:val="center"/>
          </w:tcPr>
          <w:p>
            <w:pPr>
              <w:pStyle w:val="12"/>
              <w:rPr>
                <w:rFonts w:ascii="仿宋_GB2312" w:eastAsia="仿宋_GB2312"/>
                <w:sz w:val="32"/>
              </w:rPr>
            </w:pPr>
            <w:r>
              <w:rPr>
                <w:rFonts w:ascii="仿宋_GB2312" w:eastAsia="仿宋_GB2312"/>
                <w:sz w:val="32"/>
              </w:rPr>
              <w:t>1</w:t>
            </w:r>
          </w:p>
        </w:tc>
        <w:tc>
          <w:tcPr>
            <w:tcW w:w="2307" w:type="pct"/>
            <w:shd w:val="clear" w:color="auto" w:fill="auto"/>
            <w:noWrap w:val="0"/>
            <w:vAlign w:val="center"/>
          </w:tcPr>
          <w:p>
            <w:pPr>
              <w:pStyle w:val="12"/>
              <w:rPr>
                <w:rFonts w:ascii="仿宋_GB2312" w:eastAsia="仿宋_GB2312"/>
                <w:sz w:val="32"/>
              </w:rPr>
            </w:pPr>
            <w:r>
              <w:rPr>
                <w:rFonts w:hint="eastAsia" w:ascii="仿宋_GB2312" w:eastAsia="仿宋_GB2312"/>
                <w:sz w:val="32"/>
              </w:rPr>
              <w:t>外观</w:t>
            </w:r>
          </w:p>
        </w:tc>
        <w:tc>
          <w:tcPr>
            <w:tcW w:w="2183" w:type="pct"/>
            <w:gridSpan w:val="2"/>
            <w:shd w:val="clear" w:color="auto" w:fill="auto"/>
            <w:noWrap w:val="0"/>
            <w:vAlign w:val="center"/>
          </w:tcPr>
          <w:p>
            <w:pPr>
              <w:pStyle w:val="12"/>
              <w:rPr>
                <w:rFonts w:ascii="仿宋_GB2312" w:eastAsia="仿宋_GB2312"/>
                <w:sz w:val="32"/>
              </w:rPr>
            </w:pPr>
            <w:r>
              <w:rPr>
                <w:rFonts w:hint="eastAsia" w:ascii="仿宋_GB2312" w:eastAsia="仿宋_GB2312"/>
                <w:sz w:val="32"/>
              </w:rPr>
              <w:t>清晰透明，无机械杂质和游离水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0" w:type="pct"/>
            <w:shd w:val="clear" w:color="auto" w:fill="auto"/>
            <w:noWrap w:val="0"/>
            <w:vAlign w:val="center"/>
          </w:tcPr>
          <w:p>
            <w:pPr>
              <w:pStyle w:val="12"/>
              <w:rPr>
                <w:rFonts w:ascii="仿宋_GB2312" w:eastAsia="仿宋_GB2312"/>
                <w:sz w:val="32"/>
              </w:rPr>
            </w:pPr>
            <w:r>
              <w:rPr>
                <w:rFonts w:ascii="仿宋_GB2312" w:eastAsia="仿宋_GB2312"/>
                <w:sz w:val="32"/>
              </w:rPr>
              <w:t>2</w:t>
            </w:r>
          </w:p>
        </w:tc>
        <w:tc>
          <w:tcPr>
            <w:tcW w:w="2307" w:type="pct"/>
            <w:shd w:val="clear" w:color="auto" w:fill="auto"/>
            <w:noWrap w:val="0"/>
            <w:vAlign w:val="center"/>
          </w:tcPr>
          <w:p>
            <w:pPr>
              <w:pStyle w:val="12"/>
              <w:rPr>
                <w:rFonts w:ascii="仿宋_GB2312" w:eastAsia="仿宋_GB2312"/>
                <w:sz w:val="32"/>
              </w:rPr>
            </w:pPr>
            <w:r>
              <w:rPr>
                <w:rFonts w:hint="eastAsia" w:ascii="仿宋_GB2312" w:eastAsia="仿宋_GB2312"/>
                <w:sz w:val="32"/>
              </w:rPr>
              <w:t>纯度</w:t>
            </w:r>
            <w:r>
              <w:rPr>
                <w:rFonts w:ascii="仿宋_GB2312" w:eastAsia="仿宋_GB2312"/>
                <w:sz w:val="32"/>
              </w:rPr>
              <w:t>(</w:t>
            </w:r>
            <w:r>
              <w:rPr>
                <w:rFonts w:hint="eastAsia" w:ascii="仿宋_GB2312" w:eastAsia="仿宋_GB2312"/>
                <w:sz w:val="32"/>
              </w:rPr>
              <w:t>质量分数</w:t>
            </w:r>
            <w:r>
              <w:rPr>
                <w:rFonts w:ascii="仿宋_GB2312" w:eastAsia="仿宋_GB2312"/>
                <w:sz w:val="32"/>
              </w:rPr>
              <w:t>)/%</w:t>
            </w:r>
          </w:p>
        </w:tc>
        <w:tc>
          <w:tcPr>
            <w:tcW w:w="2183" w:type="pct"/>
            <w:gridSpan w:val="2"/>
            <w:shd w:val="clear" w:color="auto" w:fill="auto"/>
            <w:noWrap w:val="0"/>
            <w:vAlign w:val="center"/>
          </w:tcPr>
          <w:p>
            <w:pPr>
              <w:pStyle w:val="12"/>
              <w:rPr>
                <w:rFonts w:ascii="仿宋_GB2312" w:eastAsia="仿宋_GB2312"/>
                <w:sz w:val="32"/>
              </w:rPr>
            </w:pPr>
            <w:r>
              <w:rPr>
                <w:rFonts w:hint="eastAsia" w:ascii="仿宋_GB2312" w:eastAsia="仿宋_GB2312"/>
                <w:sz w:val="32"/>
              </w:rPr>
              <w:t>≥</w:t>
            </w:r>
            <w:r>
              <w:rPr>
                <w:rFonts w:ascii="仿宋_GB2312" w:eastAsia="仿宋_GB2312"/>
                <w:sz w:val="32"/>
              </w:rPr>
              <w:t>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0" w:type="pct"/>
            <w:shd w:val="clear" w:color="auto" w:fill="auto"/>
            <w:noWrap w:val="0"/>
            <w:vAlign w:val="center"/>
          </w:tcPr>
          <w:p>
            <w:pPr>
              <w:pStyle w:val="12"/>
              <w:rPr>
                <w:rFonts w:ascii="仿宋_GB2312" w:eastAsia="仿宋_GB2312"/>
                <w:sz w:val="32"/>
              </w:rPr>
            </w:pPr>
            <w:r>
              <w:rPr>
                <w:rFonts w:ascii="仿宋_GB2312" w:eastAsia="仿宋_GB2312"/>
                <w:sz w:val="32"/>
              </w:rPr>
              <w:t>3</w:t>
            </w:r>
          </w:p>
        </w:tc>
        <w:tc>
          <w:tcPr>
            <w:tcW w:w="2307" w:type="pct"/>
            <w:shd w:val="clear" w:color="auto" w:fill="auto"/>
            <w:noWrap w:val="0"/>
            <w:vAlign w:val="center"/>
          </w:tcPr>
          <w:p>
            <w:pPr>
              <w:pStyle w:val="12"/>
              <w:rPr>
                <w:rFonts w:ascii="仿宋_GB2312" w:eastAsia="仿宋_GB2312"/>
                <w:sz w:val="32"/>
              </w:rPr>
            </w:pPr>
            <w:r>
              <w:rPr>
                <w:rFonts w:hint="eastAsia" w:ascii="仿宋_GB2312" w:eastAsia="仿宋_GB2312"/>
                <w:sz w:val="32"/>
              </w:rPr>
              <w:t>聚合物</w:t>
            </w:r>
            <w:r>
              <w:rPr>
                <w:rFonts w:ascii="仿宋_GB2312" w:eastAsia="仿宋_GB2312"/>
                <w:sz w:val="32"/>
              </w:rPr>
              <w:t>/(mg/kg)</w:t>
            </w:r>
          </w:p>
        </w:tc>
        <w:tc>
          <w:tcPr>
            <w:tcW w:w="1091" w:type="pct"/>
            <w:shd w:val="clear" w:color="auto" w:fill="auto"/>
            <w:noWrap w:val="0"/>
            <w:vAlign w:val="center"/>
          </w:tcPr>
          <w:p>
            <w:pPr>
              <w:pStyle w:val="12"/>
              <w:rPr>
                <w:rFonts w:ascii="仿宋_GB2312" w:eastAsia="仿宋_GB2312"/>
                <w:sz w:val="32"/>
              </w:rPr>
            </w:pPr>
            <w:r>
              <w:rPr>
                <w:rFonts w:hint="eastAsia" w:ascii="仿宋_GB2312" w:eastAsia="仿宋_GB2312"/>
                <w:sz w:val="32"/>
              </w:rPr>
              <w:t>入库≤</w:t>
            </w:r>
            <w:r>
              <w:rPr>
                <w:rFonts w:ascii="仿宋_GB2312" w:eastAsia="仿宋_GB2312"/>
                <w:sz w:val="32"/>
              </w:rPr>
              <w:t>6</w:t>
            </w:r>
          </w:p>
        </w:tc>
        <w:tc>
          <w:tcPr>
            <w:tcW w:w="1091" w:type="pct"/>
            <w:shd w:val="clear" w:color="auto" w:fill="auto"/>
            <w:noWrap w:val="0"/>
            <w:vAlign w:val="center"/>
          </w:tcPr>
          <w:p>
            <w:pPr>
              <w:pStyle w:val="12"/>
              <w:rPr>
                <w:rFonts w:ascii="仿宋_GB2312" w:eastAsia="仿宋_GB2312"/>
                <w:sz w:val="32"/>
              </w:rPr>
            </w:pPr>
            <w:r>
              <w:rPr>
                <w:rFonts w:hint="eastAsia" w:ascii="仿宋_GB2312" w:eastAsia="仿宋_GB2312"/>
                <w:sz w:val="32"/>
              </w:rPr>
              <w:t>出库≤</w:t>
            </w:r>
            <w:r>
              <w:rPr>
                <w:rFonts w:ascii="仿宋_GB2312" w:eastAsia="仿宋_GB2312"/>
                <w:sz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0" w:type="pct"/>
            <w:shd w:val="clear" w:color="auto" w:fill="auto"/>
            <w:noWrap w:val="0"/>
            <w:vAlign w:val="center"/>
          </w:tcPr>
          <w:p>
            <w:pPr>
              <w:pStyle w:val="12"/>
              <w:rPr>
                <w:rFonts w:ascii="仿宋_GB2312" w:eastAsia="仿宋_GB2312"/>
                <w:sz w:val="32"/>
              </w:rPr>
            </w:pPr>
            <w:r>
              <w:rPr>
                <w:rFonts w:ascii="仿宋_GB2312" w:eastAsia="仿宋_GB2312"/>
                <w:sz w:val="32"/>
              </w:rPr>
              <w:t>4</w:t>
            </w:r>
          </w:p>
        </w:tc>
        <w:tc>
          <w:tcPr>
            <w:tcW w:w="2307" w:type="pct"/>
            <w:shd w:val="clear" w:color="auto" w:fill="auto"/>
            <w:noWrap w:val="0"/>
            <w:vAlign w:val="center"/>
          </w:tcPr>
          <w:p>
            <w:pPr>
              <w:pStyle w:val="12"/>
              <w:rPr>
                <w:rFonts w:ascii="仿宋_GB2312" w:eastAsia="仿宋_GB2312"/>
                <w:sz w:val="32"/>
              </w:rPr>
            </w:pPr>
            <w:r>
              <w:rPr>
                <w:rFonts w:hint="eastAsia" w:ascii="仿宋_GB2312" w:eastAsia="仿宋_GB2312"/>
                <w:sz w:val="32"/>
              </w:rPr>
              <w:t>过氧化物（以过氧化氢计</w:t>
            </w:r>
            <w:r>
              <w:rPr>
                <w:rFonts w:ascii="仿宋_GB2312" w:eastAsia="仿宋_GB2312"/>
                <w:sz w:val="32"/>
              </w:rPr>
              <w:t>)/(mg/kg)</w:t>
            </w:r>
          </w:p>
        </w:tc>
        <w:tc>
          <w:tcPr>
            <w:tcW w:w="2183" w:type="pct"/>
            <w:gridSpan w:val="2"/>
            <w:shd w:val="clear" w:color="auto" w:fill="auto"/>
            <w:noWrap w:val="0"/>
            <w:vAlign w:val="center"/>
          </w:tcPr>
          <w:p>
            <w:pPr>
              <w:pStyle w:val="12"/>
              <w:rPr>
                <w:rFonts w:ascii="仿宋_GB2312" w:eastAsia="仿宋_GB2312"/>
                <w:sz w:val="32"/>
              </w:rPr>
            </w:pPr>
            <w:r>
              <w:rPr>
                <w:rFonts w:hint="eastAsia" w:ascii="仿宋_GB2312" w:eastAsia="仿宋_GB2312"/>
                <w:sz w:val="32"/>
              </w:rPr>
              <w:t>≤</w:t>
            </w:r>
            <w:r>
              <w:rPr>
                <w:rFonts w:ascii="仿宋_GB2312" w:eastAsia="仿宋_GB2312"/>
                <w:sz w:val="3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0" w:type="pct"/>
            <w:shd w:val="clear" w:color="auto" w:fill="auto"/>
            <w:noWrap w:val="0"/>
            <w:vAlign w:val="center"/>
          </w:tcPr>
          <w:p>
            <w:pPr>
              <w:pStyle w:val="12"/>
              <w:rPr>
                <w:rFonts w:ascii="仿宋_GB2312" w:eastAsia="仿宋_GB2312"/>
                <w:sz w:val="32"/>
              </w:rPr>
            </w:pPr>
            <w:r>
              <w:rPr>
                <w:rFonts w:ascii="仿宋_GB2312" w:eastAsia="仿宋_GB2312"/>
                <w:sz w:val="32"/>
              </w:rPr>
              <w:t>5</w:t>
            </w:r>
          </w:p>
        </w:tc>
        <w:tc>
          <w:tcPr>
            <w:tcW w:w="2307" w:type="pct"/>
            <w:shd w:val="clear" w:color="auto" w:fill="auto"/>
            <w:noWrap w:val="0"/>
            <w:vAlign w:val="center"/>
          </w:tcPr>
          <w:p>
            <w:pPr>
              <w:pStyle w:val="12"/>
              <w:rPr>
                <w:rFonts w:ascii="仿宋_GB2312" w:eastAsia="仿宋_GB2312"/>
                <w:sz w:val="32"/>
              </w:rPr>
            </w:pPr>
            <w:r>
              <w:rPr>
                <w:rFonts w:hint="eastAsia" w:ascii="仿宋_GB2312" w:eastAsia="仿宋_GB2312"/>
                <w:sz w:val="32"/>
              </w:rPr>
              <w:t>总醛（以苯甲醛计</w:t>
            </w:r>
            <w:r>
              <w:rPr>
                <w:rFonts w:ascii="仿宋_GB2312" w:eastAsia="仿宋_GB2312"/>
                <w:sz w:val="32"/>
              </w:rPr>
              <w:t>)/(mg/kg)</w:t>
            </w:r>
          </w:p>
        </w:tc>
        <w:tc>
          <w:tcPr>
            <w:tcW w:w="2183" w:type="pct"/>
            <w:gridSpan w:val="2"/>
            <w:shd w:val="clear" w:color="auto" w:fill="auto"/>
            <w:noWrap w:val="0"/>
            <w:vAlign w:val="center"/>
          </w:tcPr>
          <w:p>
            <w:pPr>
              <w:pStyle w:val="12"/>
              <w:rPr>
                <w:rFonts w:ascii="仿宋_GB2312" w:eastAsia="仿宋_GB2312"/>
                <w:sz w:val="32"/>
              </w:rPr>
            </w:pPr>
            <w:r>
              <w:rPr>
                <w:rFonts w:hint="eastAsia" w:ascii="仿宋_GB2312" w:eastAsia="仿宋_GB2312"/>
                <w:sz w:val="32"/>
              </w:rPr>
              <w:t>≤</w:t>
            </w:r>
            <w:r>
              <w:rPr>
                <w:rFonts w:ascii="仿宋_GB2312" w:eastAsia="仿宋_GB2312"/>
                <w:sz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0" w:type="pct"/>
            <w:shd w:val="clear" w:color="auto" w:fill="auto"/>
            <w:noWrap w:val="0"/>
            <w:vAlign w:val="center"/>
          </w:tcPr>
          <w:p>
            <w:pPr>
              <w:pStyle w:val="12"/>
              <w:rPr>
                <w:rFonts w:ascii="仿宋_GB2312" w:eastAsia="仿宋_GB2312"/>
                <w:sz w:val="32"/>
              </w:rPr>
            </w:pPr>
            <w:r>
              <w:rPr>
                <w:rFonts w:ascii="仿宋_GB2312" w:eastAsia="仿宋_GB2312"/>
                <w:sz w:val="32"/>
              </w:rPr>
              <w:t>6</w:t>
            </w:r>
          </w:p>
        </w:tc>
        <w:tc>
          <w:tcPr>
            <w:tcW w:w="2307" w:type="pct"/>
            <w:shd w:val="clear" w:color="auto" w:fill="auto"/>
            <w:noWrap w:val="0"/>
            <w:vAlign w:val="center"/>
          </w:tcPr>
          <w:p>
            <w:pPr>
              <w:pStyle w:val="12"/>
              <w:rPr>
                <w:rFonts w:ascii="仿宋_GB2312" w:eastAsia="仿宋_GB2312"/>
                <w:sz w:val="32"/>
              </w:rPr>
            </w:pPr>
            <w:r>
              <w:rPr>
                <w:rFonts w:hint="eastAsia" w:ascii="仿宋_GB2312" w:eastAsia="仿宋_GB2312"/>
                <w:sz w:val="32"/>
              </w:rPr>
              <w:t>色度</w:t>
            </w:r>
            <w:r>
              <w:rPr>
                <w:rFonts w:ascii="仿宋_GB2312" w:eastAsia="仿宋_GB2312"/>
                <w:sz w:val="32"/>
              </w:rPr>
              <w:t>(</w:t>
            </w:r>
            <w:r>
              <w:rPr>
                <w:rFonts w:hint="eastAsia" w:ascii="仿宋_GB2312" w:eastAsia="仿宋_GB2312"/>
                <w:sz w:val="32"/>
              </w:rPr>
              <w:t>铂</w:t>
            </w:r>
            <w:r>
              <w:rPr>
                <w:rFonts w:ascii="仿宋_GB2312" w:eastAsia="仿宋_GB2312"/>
                <w:sz w:val="32"/>
              </w:rPr>
              <w:t>-</w:t>
            </w:r>
            <w:r>
              <w:rPr>
                <w:rFonts w:hint="eastAsia" w:ascii="仿宋_GB2312" w:eastAsia="仿宋_GB2312"/>
                <w:sz w:val="32"/>
              </w:rPr>
              <w:t>钴色号</w:t>
            </w:r>
            <w:r>
              <w:rPr>
                <w:rFonts w:ascii="仿宋_GB2312" w:eastAsia="仿宋_GB2312"/>
                <w:sz w:val="32"/>
              </w:rPr>
              <w:t>)/</w:t>
            </w:r>
            <w:r>
              <w:rPr>
                <w:rFonts w:hint="eastAsia" w:ascii="仿宋_GB2312" w:eastAsia="仿宋_GB2312"/>
                <w:sz w:val="32"/>
              </w:rPr>
              <w:t>号</w:t>
            </w:r>
          </w:p>
        </w:tc>
        <w:tc>
          <w:tcPr>
            <w:tcW w:w="2183" w:type="pct"/>
            <w:gridSpan w:val="2"/>
            <w:shd w:val="clear" w:color="auto" w:fill="auto"/>
            <w:noWrap w:val="0"/>
            <w:vAlign w:val="center"/>
          </w:tcPr>
          <w:p>
            <w:pPr>
              <w:pStyle w:val="12"/>
              <w:rPr>
                <w:rFonts w:ascii="仿宋_GB2312" w:eastAsia="仿宋_GB2312"/>
                <w:sz w:val="32"/>
              </w:rPr>
            </w:pPr>
            <w:r>
              <w:rPr>
                <w:rFonts w:hint="eastAsia" w:ascii="仿宋_GB2312" w:eastAsia="仿宋_GB2312"/>
                <w:sz w:val="32"/>
              </w:rPr>
              <w:t>≤</w:t>
            </w:r>
            <w:r>
              <w:rPr>
                <w:rFonts w:ascii="仿宋_GB2312" w:eastAsia="仿宋_GB2312"/>
                <w:sz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0" w:type="pct"/>
            <w:shd w:val="clear" w:color="auto" w:fill="auto"/>
            <w:noWrap w:val="0"/>
            <w:vAlign w:val="center"/>
          </w:tcPr>
          <w:p>
            <w:pPr>
              <w:pStyle w:val="12"/>
              <w:rPr>
                <w:rFonts w:ascii="仿宋_GB2312" w:eastAsia="仿宋_GB2312"/>
                <w:sz w:val="32"/>
              </w:rPr>
            </w:pPr>
            <w:r>
              <w:rPr>
                <w:rFonts w:ascii="仿宋_GB2312" w:eastAsia="仿宋_GB2312"/>
                <w:sz w:val="32"/>
              </w:rPr>
              <w:t>7</w:t>
            </w:r>
          </w:p>
        </w:tc>
        <w:tc>
          <w:tcPr>
            <w:tcW w:w="2307" w:type="pct"/>
            <w:shd w:val="clear" w:color="auto" w:fill="auto"/>
            <w:noWrap w:val="0"/>
            <w:vAlign w:val="center"/>
          </w:tcPr>
          <w:p>
            <w:pPr>
              <w:pStyle w:val="12"/>
              <w:rPr>
                <w:rFonts w:ascii="仿宋_GB2312" w:eastAsia="仿宋_GB2312"/>
                <w:sz w:val="32"/>
              </w:rPr>
            </w:pPr>
            <w:r>
              <w:rPr>
                <w:rFonts w:hint="eastAsia" w:ascii="仿宋_GB2312" w:eastAsia="仿宋_GB2312"/>
                <w:sz w:val="32"/>
              </w:rPr>
              <w:t>乙苯</w:t>
            </w:r>
            <w:r>
              <w:rPr>
                <w:rFonts w:ascii="仿宋_GB2312" w:eastAsia="仿宋_GB2312"/>
                <w:sz w:val="32"/>
              </w:rPr>
              <w:t>(</w:t>
            </w:r>
            <w:r>
              <w:rPr>
                <w:rFonts w:hint="eastAsia" w:ascii="仿宋_GB2312" w:eastAsia="仿宋_GB2312"/>
                <w:sz w:val="32"/>
              </w:rPr>
              <w:t>质量分数</w:t>
            </w:r>
            <w:r>
              <w:rPr>
                <w:rFonts w:ascii="仿宋_GB2312" w:eastAsia="仿宋_GB2312"/>
                <w:sz w:val="32"/>
              </w:rPr>
              <w:t>)/%</w:t>
            </w:r>
          </w:p>
        </w:tc>
        <w:tc>
          <w:tcPr>
            <w:tcW w:w="2183" w:type="pct"/>
            <w:gridSpan w:val="2"/>
            <w:shd w:val="clear" w:color="auto" w:fill="auto"/>
            <w:noWrap w:val="0"/>
            <w:vAlign w:val="center"/>
          </w:tcPr>
          <w:p>
            <w:pPr>
              <w:pStyle w:val="12"/>
              <w:rPr>
                <w:rFonts w:ascii="仿宋_GB2312" w:eastAsia="仿宋_GB2312"/>
                <w:sz w:val="32"/>
              </w:rPr>
            </w:pPr>
            <w:r>
              <w:rPr>
                <w:rFonts w:hint="eastAsia" w:ascii="仿宋_GB2312" w:eastAsia="仿宋_GB2312"/>
                <w:sz w:val="32"/>
              </w:rPr>
              <w:t>≤</w:t>
            </w:r>
            <w:r>
              <w:rPr>
                <w:rFonts w:ascii="仿宋_GB2312" w:eastAsia="仿宋_GB2312"/>
                <w:sz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0" w:type="pct"/>
            <w:shd w:val="clear" w:color="auto" w:fill="auto"/>
            <w:noWrap w:val="0"/>
            <w:vAlign w:val="center"/>
          </w:tcPr>
          <w:p>
            <w:pPr>
              <w:pStyle w:val="12"/>
              <w:rPr>
                <w:rFonts w:ascii="仿宋_GB2312" w:eastAsia="仿宋_GB2312"/>
                <w:sz w:val="32"/>
              </w:rPr>
            </w:pPr>
            <w:r>
              <w:rPr>
                <w:rFonts w:ascii="仿宋_GB2312" w:eastAsia="仿宋_GB2312"/>
                <w:sz w:val="32"/>
              </w:rPr>
              <w:t>8</w:t>
            </w:r>
          </w:p>
        </w:tc>
        <w:tc>
          <w:tcPr>
            <w:tcW w:w="2307" w:type="pct"/>
            <w:shd w:val="clear" w:color="auto" w:fill="auto"/>
            <w:noWrap w:val="0"/>
            <w:vAlign w:val="center"/>
          </w:tcPr>
          <w:p>
            <w:pPr>
              <w:pStyle w:val="12"/>
              <w:rPr>
                <w:rFonts w:ascii="仿宋_GB2312" w:eastAsia="仿宋_GB2312"/>
                <w:sz w:val="32"/>
              </w:rPr>
            </w:pPr>
            <w:r>
              <w:rPr>
                <w:rFonts w:hint="eastAsia" w:ascii="仿宋_GB2312" w:eastAsia="仿宋_GB2312"/>
                <w:sz w:val="32"/>
              </w:rPr>
              <w:t>阻聚剂</w:t>
            </w:r>
            <w:r>
              <w:rPr>
                <w:rFonts w:ascii="仿宋_GB2312" w:eastAsia="仿宋_GB2312"/>
                <w:sz w:val="32"/>
              </w:rPr>
              <w:t>(TBC)/(mg/kg)</w:t>
            </w:r>
          </w:p>
        </w:tc>
        <w:tc>
          <w:tcPr>
            <w:tcW w:w="2183" w:type="pct"/>
            <w:gridSpan w:val="2"/>
            <w:shd w:val="clear" w:color="auto" w:fill="auto"/>
            <w:noWrap w:val="0"/>
            <w:vAlign w:val="center"/>
          </w:tcPr>
          <w:p>
            <w:pPr>
              <w:pStyle w:val="12"/>
              <w:rPr>
                <w:rFonts w:ascii="仿宋_GB2312" w:eastAsia="仿宋_GB2312"/>
                <w:sz w:val="32"/>
              </w:rPr>
            </w:pPr>
            <w:r>
              <w:rPr>
                <w:rFonts w:ascii="仿宋_GB2312" w:eastAsia="仿宋_GB2312"/>
                <w:sz w:val="32"/>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0" w:type="pct"/>
            <w:shd w:val="clear" w:color="auto" w:fill="auto"/>
            <w:noWrap w:val="0"/>
            <w:vAlign w:val="center"/>
          </w:tcPr>
          <w:p>
            <w:pPr>
              <w:pStyle w:val="12"/>
              <w:rPr>
                <w:rFonts w:ascii="仿宋_GB2312" w:eastAsia="仿宋_GB2312"/>
                <w:sz w:val="32"/>
              </w:rPr>
            </w:pPr>
            <w:r>
              <w:rPr>
                <w:rFonts w:ascii="仿宋_GB2312" w:eastAsia="仿宋_GB2312"/>
                <w:sz w:val="32"/>
              </w:rPr>
              <w:t>9</w:t>
            </w:r>
          </w:p>
        </w:tc>
        <w:tc>
          <w:tcPr>
            <w:tcW w:w="2307" w:type="pct"/>
            <w:shd w:val="clear" w:color="auto" w:fill="auto"/>
            <w:noWrap w:val="0"/>
            <w:vAlign w:val="center"/>
          </w:tcPr>
          <w:p>
            <w:pPr>
              <w:pStyle w:val="12"/>
              <w:rPr>
                <w:rFonts w:ascii="仿宋_GB2312" w:eastAsia="仿宋_GB2312"/>
                <w:sz w:val="32"/>
              </w:rPr>
            </w:pPr>
            <w:r>
              <w:rPr>
                <w:rFonts w:hint="eastAsia" w:ascii="仿宋_GB2312" w:eastAsia="仿宋_GB2312"/>
                <w:sz w:val="32"/>
              </w:rPr>
              <w:t>硫含量</w:t>
            </w:r>
            <w:r>
              <w:rPr>
                <w:rFonts w:ascii="仿宋_GB2312" w:eastAsia="仿宋_GB2312"/>
                <w:sz w:val="32"/>
              </w:rPr>
              <w:t>/(mg/kg)</w:t>
            </w:r>
          </w:p>
        </w:tc>
        <w:tc>
          <w:tcPr>
            <w:tcW w:w="2183" w:type="pct"/>
            <w:gridSpan w:val="2"/>
            <w:shd w:val="clear" w:color="auto" w:fill="auto"/>
            <w:noWrap w:val="0"/>
            <w:vAlign w:val="center"/>
          </w:tcPr>
          <w:p>
            <w:pPr>
              <w:pStyle w:val="12"/>
              <w:rPr>
                <w:rFonts w:ascii="仿宋_GB2312" w:eastAsia="仿宋_GB2312"/>
                <w:sz w:val="32"/>
              </w:rPr>
            </w:pPr>
            <w:r>
              <w:rPr>
                <w:rFonts w:hint="eastAsia" w:ascii="仿宋_GB2312" w:eastAsia="仿宋_GB2312"/>
                <w:sz w:val="32"/>
              </w:rPr>
              <w:t>≤</w:t>
            </w:r>
            <w:r>
              <w:rPr>
                <w:rFonts w:ascii="仿宋_GB2312" w:eastAsia="仿宋_GB2312"/>
                <w:sz w:val="32"/>
              </w:rPr>
              <w:t>1</w:t>
            </w:r>
          </w:p>
        </w:tc>
      </w:tr>
    </w:tbl>
    <w:p>
      <w:pPr>
        <w:pStyle w:val="9"/>
        <w:ind w:firstLine="640"/>
        <w:rPr>
          <w:rFonts w:ascii="仿宋_GB2312" w:eastAsia="仿宋_GB2312"/>
          <w:sz w:val="32"/>
        </w:rPr>
      </w:pPr>
      <w:r>
        <w:rPr>
          <w:rFonts w:ascii="仿宋_GB2312" w:eastAsia="仿宋_GB2312"/>
          <w:sz w:val="32"/>
        </w:rPr>
        <w:t xml:space="preserve">5 </w:t>
      </w:r>
      <w:r>
        <w:rPr>
          <w:rFonts w:hint="eastAsia" w:ascii="仿宋_GB2312" w:eastAsia="仿宋_GB2312"/>
          <w:sz w:val="32"/>
        </w:rPr>
        <w:t>试验方法与检验规则</w:t>
      </w:r>
    </w:p>
    <w:p>
      <w:pPr>
        <w:pStyle w:val="9"/>
        <w:ind w:firstLine="640"/>
        <w:rPr>
          <w:rFonts w:ascii="仿宋_GB2312" w:eastAsia="仿宋_GB2312"/>
          <w:sz w:val="32"/>
        </w:rPr>
      </w:pPr>
      <w:r>
        <w:rPr>
          <w:rFonts w:ascii="仿宋_GB2312" w:eastAsia="仿宋_GB2312"/>
          <w:sz w:val="32"/>
        </w:rPr>
        <w:t xml:space="preserve">5.1 </w:t>
      </w:r>
      <w:r>
        <w:rPr>
          <w:rFonts w:hint="eastAsia" w:ascii="仿宋_GB2312" w:eastAsia="仿宋_GB2312"/>
          <w:sz w:val="32"/>
        </w:rPr>
        <w:t>试样的采取按</w:t>
      </w:r>
      <w:r>
        <w:rPr>
          <w:rFonts w:ascii="仿宋_GB2312" w:eastAsia="仿宋_GB2312"/>
          <w:sz w:val="32"/>
        </w:rPr>
        <w:t>GB/T 6678</w:t>
      </w:r>
      <w:r>
        <w:rPr>
          <w:rFonts w:hint="eastAsia" w:ascii="仿宋_GB2312" w:eastAsia="仿宋_GB2312"/>
          <w:sz w:val="32"/>
        </w:rPr>
        <w:t>和</w:t>
      </w:r>
      <w:r>
        <w:rPr>
          <w:rFonts w:ascii="仿宋_GB2312" w:eastAsia="仿宋_GB2312"/>
          <w:sz w:val="32"/>
        </w:rPr>
        <w:t>GB/T 6680</w:t>
      </w:r>
      <w:r>
        <w:rPr>
          <w:rFonts w:hint="eastAsia" w:ascii="仿宋_GB2312" w:eastAsia="仿宋_GB2312"/>
          <w:sz w:val="32"/>
        </w:rPr>
        <w:t>执行。</w:t>
      </w:r>
    </w:p>
    <w:p>
      <w:pPr>
        <w:pStyle w:val="9"/>
        <w:ind w:firstLine="640"/>
        <w:rPr>
          <w:rFonts w:ascii="仿宋_GB2312" w:eastAsia="仿宋_GB2312"/>
          <w:sz w:val="32"/>
        </w:rPr>
      </w:pPr>
      <w:r>
        <w:rPr>
          <w:rFonts w:ascii="仿宋_GB2312" w:eastAsia="仿宋_GB2312"/>
          <w:sz w:val="32"/>
        </w:rPr>
        <w:t xml:space="preserve">5.2 </w:t>
      </w:r>
      <w:r>
        <w:rPr>
          <w:rFonts w:hint="eastAsia" w:ascii="仿宋_GB2312" w:eastAsia="仿宋_GB2312"/>
          <w:sz w:val="32"/>
        </w:rPr>
        <w:t>表</w:t>
      </w:r>
      <w:r>
        <w:rPr>
          <w:rFonts w:ascii="仿宋_GB2312" w:eastAsia="仿宋_GB2312"/>
          <w:sz w:val="32"/>
        </w:rPr>
        <w:t>1</w:t>
      </w:r>
      <w:r>
        <w:rPr>
          <w:rFonts w:hint="eastAsia" w:ascii="仿宋_GB2312" w:eastAsia="仿宋_GB2312"/>
          <w:sz w:val="32"/>
        </w:rPr>
        <w:t>规定的第</w:t>
      </w:r>
      <w:r>
        <w:rPr>
          <w:rFonts w:ascii="仿宋_GB2312" w:eastAsia="仿宋_GB2312"/>
          <w:sz w:val="32"/>
        </w:rPr>
        <w:t>1</w:t>
      </w:r>
      <w:r>
        <w:rPr>
          <w:rFonts w:hint="eastAsia" w:ascii="仿宋_GB2312" w:eastAsia="仿宋_GB2312"/>
          <w:sz w:val="32"/>
        </w:rPr>
        <w:t>项至第</w:t>
      </w:r>
      <w:r>
        <w:rPr>
          <w:rFonts w:ascii="仿宋_GB2312" w:eastAsia="仿宋_GB2312"/>
          <w:sz w:val="32"/>
        </w:rPr>
        <w:t>8</w:t>
      </w:r>
      <w:r>
        <w:rPr>
          <w:rFonts w:hint="eastAsia" w:ascii="仿宋_GB2312" w:eastAsia="仿宋_GB2312"/>
          <w:sz w:val="32"/>
        </w:rPr>
        <w:t>项质量指标检验按</w:t>
      </w:r>
      <w:r>
        <w:rPr>
          <w:rFonts w:ascii="仿宋_GB2312" w:eastAsia="仿宋_GB2312"/>
          <w:sz w:val="32"/>
        </w:rPr>
        <w:t>GB/T 3915</w:t>
      </w:r>
      <w:r>
        <w:rPr>
          <w:rFonts w:hint="eastAsia" w:ascii="仿宋_GB2312" w:eastAsia="仿宋_GB2312"/>
          <w:sz w:val="32"/>
        </w:rPr>
        <w:t>执行，第</w:t>
      </w:r>
      <w:r>
        <w:rPr>
          <w:rFonts w:ascii="仿宋_GB2312" w:eastAsia="仿宋_GB2312"/>
          <w:sz w:val="32"/>
        </w:rPr>
        <w:t>9</w:t>
      </w:r>
      <w:r>
        <w:rPr>
          <w:rFonts w:hint="eastAsia" w:ascii="仿宋_GB2312" w:eastAsia="仿宋_GB2312"/>
          <w:sz w:val="32"/>
        </w:rPr>
        <w:t>项质量指标检验按</w:t>
      </w:r>
      <w:r>
        <w:rPr>
          <w:rFonts w:ascii="仿宋_GB2312" w:eastAsia="仿宋_GB2312"/>
          <w:sz w:val="32"/>
        </w:rPr>
        <w:t>SH/T 0689-2000</w:t>
      </w:r>
      <w:r>
        <w:rPr>
          <w:rFonts w:hint="eastAsia" w:ascii="仿宋_GB2312" w:eastAsia="仿宋_GB2312"/>
          <w:sz w:val="32"/>
        </w:rPr>
        <w:t>执行。</w:t>
      </w:r>
    </w:p>
    <w:p>
      <w:pPr>
        <w:pStyle w:val="9"/>
        <w:ind w:firstLine="640"/>
        <w:rPr>
          <w:rFonts w:ascii="仿宋_GB2312" w:eastAsia="仿宋_GB2312"/>
          <w:sz w:val="32"/>
        </w:rPr>
      </w:pPr>
      <w:r>
        <w:rPr>
          <w:rFonts w:ascii="仿宋_GB2312" w:eastAsia="仿宋_GB2312"/>
          <w:sz w:val="32"/>
        </w:rPr>
        <w:t xml:space="preserve">6 </w:t>
      </w:r>
      <w:r>
        <w:rPr>
          <w:rFonts w:hint="eastAsia" w:ascii="仿宋_GB2312" w:eastAsia="仿宋_GB2312"/>
          <w:sz w:val="32"/>
        </w:rPr>
        <w:t>贮存</w:t>
      </w:r>
    </w:p>
    <w:p>
      <w:pPr>
        <w:pStyle w:val="9"/>
        <w:ind w:firstLine="640"/>
        <w:rPr>
          <w:rFonts w:ascii="仿宋_GB2312" w:eastAsia="仿宋_GB2312"/>
          <w:sz w:val="32"/>
        </w:rPr>
      </w:pPr>
      <w:r>
        <w:rPr>
          <w:rFonts w:hint="eastAsia" w:ascii="仿宋_GB2312" w:eastAsia="仿宋_GB2312"/>
          <w:sz w:val="32"/>
        </w:rPr>
        <w:t>苯乙烯应贮存在</w:t>
      </w:r>
      <w:r>
        <w:rPr>
          <w:rFonts w:ascii="仿宋_GB2312" w:eastAsia="仿宋_GB2312"/>
          <w:sz w:val="32"/>
        </w:rPr>
        <w:t>25</w:t>
      </w:r>
      <w:r>
        <w:rPr>
          <w:rFonts w:hint="eastAsia" w:ascii="仿宋_GB2312" w:eastAsia="仿宋_GB2312"/>
          <w:sz w:val="32"/>
        </w:rPr>
        <w:t>℃以下或冷藏仓库里，防止聚合变质。</w:t>
      </w:r>
    </w:p>
    <w:p>
      <w:pPr>
        <w:pStyle w:val="9"/>
        <w:ind w:firstLine="640"/>
        <w:rPr>
          <w:rFonts w:ascii="仿宋_GB2312" w:eastAsia="仿宋_GB2312"/>
          <w:sz w:val="32"/>
        </w:rPr>
      </w:pPr>
      <w:r>
        <w:rPr>
          <w:rFonts w:ascii="仿宋_GB2312" w:eastAsia="仿宋_GB2312"/>
          <w:sz w:val="32"/>
        </w:rPr>
        <w:t xml:space="preserve">7 </w:t>
      </w:r>
      <w:r>
        <w:rPr>
          <w:rFonts w:hint="eastAsia" w:ascii="仿宋_GB2312" w:eastAsia="仿宋_GB2312"/>
          <w:sz w:val="32"/>
        </w:rPr>
        <w:t>附加说明</w:t>
      </w:r>
    </w:p>
    <w:p>
      <w:pPr>
        <w:pStyle w:val="9"/>
        <w:ind w:firstLine="640"/>
        <w:rPr>
          <w:rFonts w:ascii="仿宋_GB2312" w:eastAsia="仿宋_GB2312"/>
          <w:sz w:val="32"/>
        </w:rPr>
      </w:pPr>
      <w:r>
        <w:rPr>
          <w:rFonts w:hint="eastAsia" w:ascii="仿宋_GB2312" w:eastAsia="仿宋_GB2312"/>
          <w:sz w:val="32"/>
        </w:rPr>
        <w:t>本标准由大连商品交易所负责解释。</w:t>
      </w:r>
    </w:p>
    <w:p>
      <w:pPr>
        <w:rPr>
          <w:rFonts w:ascii="仿宋_GB2312" w:hAnsi="微软雅黑" w:eastAsia="仿宋_GB2312" w:cs="宋体"/>
          <w:color w:val="333333"/>
          <w:kern w:val="0"/>
          <w:sz w:val="32"/>
          <w:szCs w:val="32"/>
        </w:rPr>
      </w:pPr>
    </w:p>
    <w:p>
      <w:pPr>
        <w:rPr>
          <w:rFonts w:ascii="仿宋_GB2312" w:hAnsi="微软雅黑" w:eastAsia="仿宋_GB2312" w:cs="宋体"/>
          <w:color w:val="333333"/>
          <w:kern w:val="0"/>
          <w:sz w:val="32"/>
          <w:szCs w:val="32"/>
        </w:rPr>
      </w:pPr>
    </w:p>
    <w:p>
      <w:pPr>
        <w:ind w:right="640"/>
        <w:jc w:val="left"/>
        <w:rPr>
          <w:rFonts w:hint="eastAsia" w:ascii="仿宋_GB2312" w:eastAsia="仿宋_GB2312"/>
          <w:sz w:val="32"/>
          <w:szCs w:val="32"/>
        </w:rPr>
      </w:pPr>
    </w:p>
    <w:p>
      <w:pPr>
        <w:rPr>
          <w:rFonts w:hint="eastAsia" w:ascii="仿宋_GB2312" w:hAnsi="华文仿宋" w:eastAsia="仿宋_GB2312"/>
          <w:sz w:val="32"/>
          <w:szCs w:val="32"/>
        </w:rPr>
      </w:pPr>
    </w:p>
    <w:p>
      <w:bookmarkStart w:id="0" w:name="_GoBack"/>
      <w:bookmarkEnd w:id="0"/>
    </w:p>
    <w:sectPr>
      <w:headerReference r:id="rId3" w:type="firs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sz w:val="28"/>
        <w:szCs w:val="28"/>
      </w:rPr>
    </w:pPr>
    <w:r>
      <w:rPr>
        <w:rStyle w:val="7"/>
        <w:rFonts w:hint="eastAsia" w:ascii="宋体" w:hAnsi="宋体"/>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- 10 -</w:t>
    </w:r>
    <w:r>
      <w:rPr>
        <w:rStyle w:val="7"/>
        <w:sz w:val="28"/>
        <w:szCs w:val="28"/>
      </w:rPr>
      <w:fldChar w:fldCharType="end"/>
    </w:r>
    <w:r>
      <w:rPr>
        <w:rStyle w:val="7"/>
        <w:rFonts w:hint="eastAsia"/>
        <w:sz w:val="28"/>
        <w:szCs w:val="28"/>
      </w:rPr>
      <w:t xml:space="preserve"> </w:t>
    </w:r>
    <w:r>
      <w:rPr>
        <w:rStyle w:val="7"/>
        <w:rFonts w:hint="eastAsia" w:ascii="宋体" w:hAnsi="宋体"/>
        <w:sz w:val="28"/>
        <w:szCs w:val="28"/>
      </w:rPr>
      <w:t>—</w:t>
    </w:r>
  </w:p>
  <w:p>
    <w:pPr>
      <w:pStyle w:val="2"/>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EB0EA7"/>
    <w:rsid w:val="01EB0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Subtitle"/>
    <w:next w:val="1"/>
    <w:qFormat/>
    <w:uiPriority w:val="11"/>
    <w:pPr>
      <w:spacing w:line="580" w:lineRule="exact"/>
      <w:jc w:val="center"/>
      <w:outlineLvl w:val="1"/>
    </w:pPr>
    <w:rPr>
      <w:rFonts w:ascii="Times New Roman" w:hAnsi="Times New Roman" w:eastAsia="宋体" w:cs="Times New Roman"/>
      <w:b/>
      <w:bCs/>
      <w:kern w:val="28"/>
      <w:sz w:val="30"/>
      <w:szCs w:val="32"/>
      <w:lang w:val="en-US" w:eastAsia="zh-CN" w:bidi="ar-SA"/>
    </w:rPr>
  </w:style>
  <w:style w:type="character" w:styleId="7">
    <w:name w:val="page number"/>
    <w:basedOn w:val="6"/>
    <w:qFormat/>
    <w:uiPriority w:val="99"/>
  </w:style>
  <w:style w:type="paragraph" w:customStyle="1" w:styleId="8">
    <w:name w:val="修正案一级"/>
    <w:basedOn w:val="9"/>
    <w:qFormat/>
    <w:uiPriority w:val="0"/>
    <w:pPr>
      <w:ind w:firstLine="0" w:firstLineChars="0"/>
      <w:jc w:val="center"/>
      <w:outlineLvl w:val="0"/>
    </w:pPr>
  </w:style>
  <w:style w:type="paragraph" w:customStyle="1" w:styleId="9">
    <w:name w:val="修正案正文"/>
    <w:basedOn w:val="1"/>
    <w:next w:val="1"/>
    <w:link w:val="10"/>
    <w:qFormat/>
    <w:uiPriority w:val="0"/>
    <w:pPr>
      <w:spacing w:line="580" w:lineRule="exact"/>
      <w:ind w:firstLine="560" w:firstLineChars="200"/>
    </w:pPr>
    <w:rPr>
      <w:sz w:val="28"/>
      <w:szCs w:val="32"/>
    </w:rPr>
  </w:style>
  <w:style w:type="character" w:customStyle="1" w:styleId="10">
    <w:name w:val="修正案正文 字符"/>
    <w:link w:val="9"/>
    <w:uiPriority w:val="0"/>
    <w:rPr>
      <w:sz w:val="28"/>
      <w:szCs w:val="32"/>
    </w:rPr>
  </w:style>
  <w:style w:type="paragraph" w:customStyle="1" w:styleId="11">
    <w:name w:val="附件"/>
    <w:next w:val="1"/>
    <w:qFormat/>
    <w:uiPriority w:val="0"/>
    <w:pPr>
      <w:spacing w:line="580" w:lineRule="exact"/>
    </w:pPr>
    <w:rPr>
      <w:rFonts w:ascii="Times New Roman" w:hAnsi="Times New Roman" w:eastAsia="仿宋_GB2312" w:cs="Times New Roman"/>
      <w:sz w:val="32"/>
      <w:szCs w:val="24"/>
      <w:lang w:val="en-US" w:eastAsia="zh-CN" w:bidi="ar-SA"/>
    </w:rPr>
  </w:style>
  <w:style w:type="paragraph" w:customStyle="1" w:styleId="12">
    <w:name w:val="修正案图表"/>
    <w:basedOn w:val="9"/>
    <w:next w:val="9"/>
    <w:qFormat/>
    <w:uiPriority w:val="0"/>
    <w:pPr>
      <w:spacing w:line="360" w:lineRule="auto"/>
      <w:ind w:firstLine="0" w:firstLineChars="0"/>
      <w:jc w:val="cente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2019-09-20T11:53:00Z</dcterms:created>
  <dc:creator>三少</dc:creator>
  <cp:lastModifiedBy>三少</cp:lastModifiedBy>
  <dcterms:modified xsi:type="dcterms:W3CDTF">2019-09-20T11:54:12Z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